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46ED" w14:textId="77777777" w:rsidR="00701BFE" w:rsidRPr="00701BFE" w:rsidRDefault="00701BFE" w:rsidP="00E962F3">
      <w:pPr>
        <w:spacing w:line="276" w:lineRule="auto"/>
        <w:jc w:val="center"/>
        <w:rPr>
          <w:b/>
        </w:rPr>
      </w:pPr>
      <w:bookmarkStart w:id="0" w:name="_GoBack"/>
      <w:bookmarkEnd w:id="0"/>
      <w:r w:rsidRPr="00701BFE">
        <w:rPr>
          <w:b/>
        </w:rPr>
        <w:t xml:space="preserve">BORRADOR </w:t>
      </w:r>
    </w:p>
    <w:p w14:paraId="17ADA760" w14:textId="421D02E1" w:rsidR="007C1F46" w:rsidRDefault="00701BFE" w:rsidP="00E962F3">
      <w:pPr>
        <w:spacing w:line="276" w:lineRule="auto"/>
        <w:jc w:val="center"/>
      </w:pPr>
      <w:r w:rsidRPr="00701BFE">
        <w:rPr>
          <w:b/>
        </w:rPr>
        <w:t>DE</w:t>
      </w:r>
      <w:r w:rsidR="004A189F">
        <w:rPr>
          <w:b/>
        </w:rPr>
        <w:t xml:space="preserve"> REGLAMENTO DE LA COMISIÓ</w:t>
      </w:r>
      <w:r w:rsidR="004C38F3">
        <w:rPr>
          <w:b/>
        </w:rPr>
        <w:t>N DE TÍ</w:t>
      </w:r>
      <w:r w:rsidR="004A189F">
        <w:rPr>
          <w:b/>
        </w:rPr>
        <w:t>TULOS DE LA UNIVERSIDAD DE CÁ</w:t>
      </w:r>
      <w:r w:rsidRPr="00701BFE">
        <w:rPr>
          <w:b/>
        </w:rPr>
        <w:t>DIZ</w:t>
      </w:r>
    </w:p>
    <w:p w14:paraId="7BFAC6F8" w14:textId="77777777" w:rsidR="00701BFE" w:rsidRDefault="00701BFE" w:rsidP="00E962F3">
      <w:pPr>
        <w:spacing w:line="276" w:lineRule="auto"/>
        <w:jc w:val="center"/>
      </w:pPr>
    </w:p>
    <w:p w14:paraId="5EB001AB" w14:textId="77777777" w:rsidR="0081309C" w:rsidRDefault="0081309C" w:rsidP="00E962F3">
      <w:pPr>
        <w:spacing w:line="276" w:lineRule="auto"/>
        <w:jc w:val="center"/>
      </w:pPr>
    </w:p>
    <w:p w14:paraId="213CD46A" w14:textId="77777777" w:rsidR="0081309C" w:rsidRDefault="0081309C" w:rsidP="0081309C">
      <w:pPr>
        <w:spacing w:line="276" w:lineRule="auto"/>
        <w:jc w:val="both"/>
      </w:pPr>
      <w:r>
        <w:t>De conformidad con el art.160 de los Estatutos de la Universidad de Cádiz, las propuestas de implantación de enseñanzas conducentes a la obtención de títulos universitarios de carácter oficial, así como su revisión y supresión, debe someterse a la legislación vigente, siguiendo el procedimiento previsto por el Consejo de Gobierno.</w:t>
      </w:r>
    </w:p>
    <w:p w14:paraId="35ADB170" w14:textId="77777777" w:rsidR="0081309C" w:rsidRDefault="0081309C" w:rsidP="0081309C">
      <w:pPr>
        <w:spacing w:line="276" w:lineRule="auto"/>
        <w:jc w:val="both"/>
      </w:pPr>
    </w:p>
    <w:p w14:paraId="637CE1BD" w14:textId="77777777" w:rsidR="0081309C" w:rsidRDefault="0081309C" w:rsidP="0081309C">
      <w:pPr>
        <w:spacing w:line="276" w:lineRule="auto"/>
        <w:jc w:val="both"/>
      </w:pPr>
      <w:r>
        <w:t xml:space="preserve">En uso de esta </w:t>
      </w:r>
      <w:r w:rsidR="00724C13">
        <w:t>habilitación</w:t>
      </w:r>
      <w:r>
        <w:t xml:space="preserve"> </w:t>
      </w:r>
      <w:r w:rsidR="00724C13">
        <w:t xml:space="preserve">competencial, se presenta ante el Consejo de Gobierno una propuesta de </w:t>
      </w:r>
      <w:r w:rsidR="004C38F3">
        <w:t>Reglamento para la creación, modificación, suspensión, extinción y gestión de títulos oficiales en la Universidad de Cádiz. En dicha propuesta adquiere un</w:t>
      </w:r>
      <w:r w:rsidR="00724C13">
        <w:t xml:space="preserve"> papel </w:t>
      </w:r>
      <w:r w:rsidR="004C38F3">
        <w:t xml:space="preserve">decisivo </w:t>
      </w:r>
      <w:r w:rsidR="00724C13">
        <w:t>la Comisión de Títulos, órgano encargado de supervisar y controlar todos los procesos por los que transcurre un título oficial, desde su implantación hasta su eventual extinción, pasando por los de gestión y modificación.   Para el cumplimiento eficaz de este cometido, se hace preciso una reglamentación</w:t>
      </w:r>
      <w:r w:rsidR="004C38F3">
        <w:t xml:space="preserve"> especí</w:t>
      </w:r>
      <w:r w:rsidR="00724C13">
        <w:t>fica que ordene la constitución, competencias y régimen de funcionamiento de la Comisión de Títulos de la Uni</w:t>
      </w:r>
      <w:r w:rsidR="004C38F3">
        <w:t>versidad de Cádiz, siendo é</w:t>
      </w:r>
      <w:r w:rsidR="00724C13">
        <w:t xml:space="preserve">ste </w:t>
      </w:r>
      <w:r w:rsidR="004C38F3">
        <w:t>en consecuencia el objetivo ú</w:t>
      </w:r>
      <w:r w:rsidR="00724C13">
        <w:t xml:space="preserve">ltimo de la </w:t>
      </w:r>
      <w:r w:rsidR="004C38F3">
        <w:t>propuesta que ahora se presenta.</w:t>
      </w:r>
    </w:p>
    <w:p w14:paraId="48ECF783" w14:textId="77777777" w:rsidR="004C38F3" w:rsidRDefault="004C38F3" w:rsidP="0081309C">
      <w:pPr>
        <w:spacing w:line="276" w:lineRule="auto"/>
        <w:jc w:val="both"/>
      </w:pPr>
    </w:p>
    <w:p w14:paraId="45E02CFD" w14:textId="77777777" w:rsidR="00E42E60" w:rsidRDefault="00E42E60" w:rsidP="00E962F3">
      <w:pPr>
        <w:spacing w:line="276" w:lineRule="auto"/>
        <w:jc w:val="both"/>
        <w:rPr>
          <w:b/>
        </w:rPr>
      </w:pPr>
    </w:p>
    <w:p w14:paraId="442ABBEE" w14:textId="64F5C371" w:rsidR="00E42E60" w:rsidRDefault="00477C91" w:rsidP="00E962F3">
      <w:pPr>
        <w:spacing w:line="276" w:lineRule="auto"/>
        <w:jc w:val="both"/>
        <w:rPr>
          <w:b/>
        </w:rPr>
      </w:pPr>
      <w:r>
        <w:rPr>
          <w:b/>
        </w:rPr>
        <w:t>Artículo</w:t>
      </w:r>
      <w:r w:rsidR="00E962F3">
        <w:rPr>
          <w:b/>
        </w:rPr>
        <w:t xml:space="preserve"> 1</w:t>
      </w:r>
      <w:r w:rsidR="00E42E60">
        <w:rPr>
          <w:b/>
        </w:rPr>
        <w:t>. Definición</w:t>
      </w:r>
    </w:p>
    <w:p w14:paraId="36786105" w14:textId="0C90E6FA" w:rsidR="00E42E60" w:rsidRDefault="00E42E60" w:rsidP="00E962F3">
      <w:pPr>
        <w:spacing w:line="276" w:lineRule="auto"/>
        <w:jc w:val="both"/>
      </w:pPr>
      <w:r w:rsidRPr="00E42E60">
        <w:t xml:space="preserve">La </w:t>
      </w:r>
      <w:r>
        <w:t>C</w:t>
      </w:r>
      <w:r w:rsidRPr="00E42E60">
        <w:t xml:space="preserve">omisión de </w:t>
      </w:r>
      <w:r>
        <w:t>T</w:t>
      </w:r>
      <w:r w:rsidRPr="00E42E60">
        <w:t xml:space="preserve">ítulos es el órgano </w:t>
      </w:r>
      <w:r w:rsidR="00FE3D04">
        <w:t xml:space="preserve">colegiado </w:t>
      </w:r>
      <w:r w:rsidRPr="00E42E60">
        <w:t xml:space="preserve">de coordinación, seguimiento y control de los Títulos </w:t>
      </w:r>
      <w:r>
        <w:t>O</w:t>
      </w:r>
      <w:r w:rsidRPr="00E42E60">
        <w:t>ficiales de la Universidad de Cádiz, ya sean de Grado, Master o de Doctorado, ejerciendo funciones de naturaleza consultiva y decisoria en todos los procesos de implantación, gestión, modificación, suspensión o extinción de los títulos</w:t>
      </w:r>
      <w:r w:rsidR="00B45254">
        <w:t>.</w:t>
      </w:r>
    </w:p>
    <w:p w14:paraId="432EC233" w14:textId="77777777" w:rsidR="00FD317A" w:rsidRDefault="00FD317A" w:rsidP="00E962F3">
      <w:pPr>
        <w:spacing w:line="276" w:lineRule="auto"/>
        <w:jc w:val="both"/>
      </w:pPr>
    </w:p>
    <w:p w14:paraId="73DD0002" w14:textId="77777777" w:rsidR="002A0F0D" w:rsidRPr="00E42E60" w:rsidRDefault="002A0F0D" w:rsidP="00E962F3">
      <w:pPr>
        <w:spacing w:line="276" w:lineRule="auto"/>
        <w:jc w:val="both"/>
      </w:pPr>
      <w:r>
        <w:t>Esta Comisión actuará de forma coordinada y complementaria con cualesquiera comisiones que pudieran existir en los centros con competencia sobre los títulos oficiales de grado o máster que impartieran.</w:t>
      </w:r>
    </w:p>
    <w:p w14:paraId="005632A2" w14:textId="77777777" w:rsidR="00E42E60" w:rsidRDefault="00E42E60" w:rsidP="00E962F3">
      <w:pPr>
        <w:spacing w:line="276" w:lineRule="auto"/>
        <w:jc w:val="both"/>
        <w:rPr>
          <w:b/>
        </w:rPr>
      </w:pPr>
    </w:p>
    <w:p w14:paraId="05E12588" w14:textId="77777777" w:rsidR="00701BFE" w:rsidRDefault="00E962F3" w:rsidP="00E962F3">
      <w:pPr>
        <w:spacing w:line="276" w:lineRule="auto"/>
        <w:jc w:val="both"/>
      </w:pPr>
      <w:r>
        <w:rPr>
          <w:b/>
        </w:rPr>
        <w:t>Artículo 2</w:t>
      </w:r>
      <w:r w:rsidR="005113E4" w:rsidRPr="005113E4">
        <w:rPr>
          <w:b/>
        </w:rPr>
        <w:t>. Composición</w:t>
      </w:r>
    </w:p>
    <w:p w14:paraId="29697A1F" w14:textId="77777777" w:rsidR="005113E4" w:rsidRDefault="0064018D" w:rsidP="00E962F3">
      <w:pPr>
        <w:spacing w:line="276" w:lineRule="auto"/>
        <w:jc w:val="both"/>
      </w:pPr>
      <w:r>
        <w:t xml:space="preserve">1. </w:t>
      </w:r>
      <w:r w:rsidR="00E42E60">
        <w:t xml:space="preserve">La Comisión de Títulos está integrada </w:t>
      </w:r>
      <w:r w:rsidR="005113E4">
        <w:t>por:</w:t>
      </w:r>
    </w:p>
    <w:p w14:paraId="4E7EC373" w14:textId="77777777" w:rsidR="005113E4" w:rsidRDefault="005113E4" w:rsidP="0064018D">
      <w:pPr>
        <w:pStyle w:val="Prrafodelista"/>
        <w:numPr>
          <w:ilvl w:val="0"/>
          <w:numId w:val="3"/>
        </w:numPr>
        <w:spacing w:line="276" w:lineRule="auto"/>
        <w:jc w:val="both"/>
      </w:pPr>
      <w:r>
        <w:t>Vicerrector</w:t>
      </w:r>
      <w:r w:rsidR="000921B9">
        <w:t>/a responsable de la P</w:t>
      </w:r>
      <w:r>
        <w:t>olítica de Títulos</w:t>
      </w:r>
      <w:r w:rsidR="000921B9">
        <w:t>, quien la presidirá.</w:t>
      </w:r>
    </w:p>
    <w:p w14:paraId="701CF1AC" w14:textId="77777777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Vicerrector/a responsable de la Planificación de las Enseñanzas de Grado y Máster.</w:t>
      </w:r>
    </w:p>
    <w:p w14:paraId="21704261" w14:textId="77777777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Vicerrector/a responsable de la Planificación de las Enseñanzas de Doctorado.</w:t>
      </w:r>
    </w:p>
    <w:p w14:paraId="6AAF567B" w14:textId="77777777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Vicerrector/a responsable de Profesorado.</w:t>
      </w:r>
    </w:p>
    <w:p w14:paraId="6395A551" w14:textId="77777777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Dire</w:t>
      </w:r>
      <w:r w:rsidR="000921B9">
        <w:t>ctor/a General de Calidad, que actuará como Secretario/a.</w:t>
      </w:r>
    </w:p>
    <w:p w14:paraId="7EF3FF32" w14:textId="62FD2BC0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lastRenderedPageBreak/>
        <w:t xml:space="preserve">Cinco Decanos/as o Directores/as, </w:t>
      </w:r>
      <w:r w:rsidR="00191CF0">
        <w:t xml:space="preserve">designados por y entre este colectivo, </w:t>
      </w:r>
      <w:r>
        <w:t>garantizando que queden representadas las ramas de conocimiento de Arte y Humanidades, Ciencias, Ciencias de la Salud, Ciencias Sociales y Jurídicas, e Ingeniería y Arquitectura.</w:t>
      </w:r>
    </w:p>
    <w:p w14:paraId="71921B25" w14:textId="77777777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Director/a de las Escuelas de Doctorado.</w:t>
      </w:r>
    </w:p>
    <w:p w14:paraId="0D284F8F" w14:textId="4CFC625F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 xml:space="preserve">Cinco representantes de Directores de Departamento, </w:t>
      </w:r>
      <w:r w:rsidR="00191CF0">
        <w:t xml:space="preserve">designados por y entre este colectivo, </w:t>
      </w:r>
      <w:r>
        <w:t>garantizando que queden</w:t>
      </w:r>
      <w:r w:rsidR="00E42E60">
        <w:t xml:space="preserve"> </w:t>
      </w:r>
      <w:r>
        <w:t>representadas las ramas de conocimiento de Arte y Humanidades, Ciencias, Ciencias de la Salud, Ciencias Sociales y Jurídicas, e Ingeniería y Arquitectura.</w:t>
      </w:r>
    </w:p>
    <w:p w14:paraId="5E80D0D4" w14:textId="7E0F8659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Tres representantes de los Estudiantes</w:t>
      </w:r>
      <w:r w:rsidR="00191CF0">
        <w:t>, designados por el Consejo de Estudiantes</w:t>
      </w:r>
      <w:r>
        <w:t>.</w:t>
      </w:r>
    </w:p>
    <w:p w14:paraId="0ED8317B" w14:textId="798BFB24" w:rsidR="005113E4" w:rsidRDefault="005113E4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Dos representantes del Personal de Administración y Servicios</w:t>
      </w:r>
      <w:r w:rsidR="00191CF0">
        <w:t>, designados por los representantes de este colectivo en Consejo de Gobierno</w:t>
      </w:r>
      <w:r>
        <w:t>.</w:t>
      </w:r>
    </w:p>
    <w:p w14:paraId="16EEF4B5" w14:textId="2942079E" w:rsidR="005113E4" w:rsidRDefault="004E4933" w:rsidP="0064018D">
      <w:pPr>
        <w:pStyle w:val="Prrafodelista"/>
        <w:numPr>
          <w:ilvl w:val="1"/>
          <w:numId w:val="3"/>
        </w:numPr>
        <w:spacing w:line="276" w:lineRule="auto"/>
        <w:jc w:val="both"/>
      </w:pPr>
      <w:r>
        <w:t>Dos</w:t>
      </w:r>
      <w:r w:rsidR="000921B9" w:rsidRPr="00665C0D">
        <w:t xml:space="preserve"> representante</w:t>
      </w:r>
      <w:r>
        <w:t>s</w:t>
      </w:r>
      <w:r w:rsidR="005113E4" w:rsidRPr="00665C0D">
        <w:t xml:space="preserve"> </w:t>
      </w:r>
      <w:r w:rsidR="005113E4">
        <w:t>del Consejo Social.</w:t>
      </w:r>
    </w:p>
    <w:p w14:paraId="682E7FFE" w14:textId="77777777" w:rsidR="005113E4" w:rsidRDefault="005113E4" w:rsidP="00E962F3">
      <w:pPr>
        <w:spacing w:line="276" w:lineRule="auto"/>
        <w:jc w:val="both"/>
      </w:pPr>
    </w:p>
    <w:p w14:paraId="5AF134F9" w14:textId="77777777" w:rsidR="0064018D" w:rsidRDefault="0064018D" w:rsidP="00E962F3">
      <w:pPr>
        <w:spacing w:line="276" w:lineRule="auto"/>
        <w:jc w:val="both"/>
      </w:pPr>
      <w:r>
        <w:t>2. El nombramiento como miembro de la Comisión de Títulos es personal e intransferible.</w:t>
      </w:r>
    </w:p>
    <w:p w14:paraId="728A1E67" w14:textId="77777777" w:rsidR="0064018D" w:rsidRDefault="0064018D" w:rsidP="00E962F3">
      <w:pPr>
        <w:spacing w:line="276" w:lineRule="auto"/>
        <w:jc w:val="both"/>
      </w:pPr>
    </w:p>
    <w:p w14:paraId="37BD4F7A" w14:textId="77777777" w:rsidR="00724C13" w:rsidRDefault="0064018D" w:rsidP="00E962F3">
      <w:pPr>
        <w:spacing w:line="276" w:lineRule="auto"/>
        <w:jc w:val="both"/>
      </w:pPr>
      <w:r>
        <w:t xml:space="preserve">3. </w:t>
      </w:r>
      <w:r w:rsidR="004C38F3">
        <w:t>L</w:t>
      </w:r>
      <w:r w:rsidR="00347B3A">
        <w:t xml:space="preserve">a condición de miembro de la </w:t>
      </w:r>
      <w:r w:rsidR="00724C13">
        <w:t>Comisión</w:t>
      </w:r>
      <w:r w:rsidR="00347B3A">
        <w:t xml:space="preserve"> se pierde</w:t>
      </w:r>
      <w:r w:rsidR="00724C13">
        <w:t>:</w:t>
      </w:r>
      <w:r w:rsidR="00347B3A">
        <w:t xml:space="preserve"> </w:t>
      </w:r>
    </w:p>
    <w:p w14:paraId="749ED11C" w14:textId="77777777" w:rsidR="00724C13" w:rsidRDefault="00724C13" w:rsidP="00E962F3">
      <w:pPr>
        <w:spacing w:line="276" w:lineRule="auto"/>
        <w:jc w:val="both"/>
      </w:pPr>
      <w:r>
        <w:t xml:space="preserve">a) Por </w:t>
      </w:r>
      <w:r w:rsidR="00347B3A">
        <w:t>renuncia volu</w:t>
      </w:r>
      <w:r>
        <w:t>ntaria debidamente formalizada.</w:t>
      </w:r>
    </w:p>
    <w:p w14:paraId="0BC91E8E" w14:textId="77777777" w:rsidR="00724C13" w:rsidRDefault="00724C13" w:rsidP="00E962F3">
      <w:pPr>
        <w:spacing w:line="276" w:lineRule="auto"/>
        <w:jc w:val="both"/>
      </w:pPr>
      <w:r>
        <w:t>b) P</w:t>
      </w:r>
      <w:r w:rsidR="00347B3A">
        <w:t>or cese en el cargo</w:t>
      </w:r>
      <w:r>
        <w:t xml:space="preserve"> o grupo por el que es miembro.</w:t>
      </w:r>
    </w:p>
    <w:p w14:paraId="3DA5D8F8" w14:textId="77777777" w:rsidR="00EF7F3A" w:rsidRDefault="00724C13" w:rsidP="00E962F3">
      <w:pPr>
        <w:spacing w:line="276" w:lineRule="auto"/>
        <w:jc w:val="both"/>
      </w:pPr>
      <w:r>
        <w:t>c) P</w:t>
      </w:r>
      <w:r w:rsidR="00347B3A">
        <w:t>or</w:t>
      </w:r>
      <w:r>
        <w:t xml:space="preserve"> incapacidad </w:t>
      </w:r>
      <w:r w:rsidR="00EF7F3A">
        <w:t>super</w:t>
      </w:r>
      <w:r>
        <w:t>ior a cuatro meses consecutivos.</w:t>
      </w:r>
    </w:p>
    <w:p w14:paraId="1E818274" w14:textId="77777777" w:rsidR="00724C13" w:rsidRDefault="00724C13" w:rsidP="00E962F3">
      <w:pPr>
        <w:spacing w:line="276" w:lineRule="auto"/>
        <w:jc w:val="both"/>
      </w:pPr>
      <w:r>
        <w:t>d) Por inasistencia, sin causa justificada, a cuatro sesiones consecutivas.</w:t>
      </w:r>
    </w:p>
    <w:p w14:paraId="6976663E" w14:textId="77777777" w:rsidR="00E42E60" w:rsidRDefault="00E42E60" w:rsidP="00E962F3">
      <w:pPr>
        <w:spacing w:line="276" w:lineRule="auto"/>
        <w:jc w:val="both"/>
      </w:pPr>
    </w:p>
    <w:p w14:paraId="7E3D4B03" w14:textId="5F2520AA" w:rsidR="005113E4" w:rsidRPr="005113E4" w:rsidRDefault="005113E4" w:rsidP="00E962F3">
      <w:pPr>
        <w:spacing w:line="276" w:lineRule="auto"/>
        <w:jc w:val="both"/>
        <w:rPr>
          <w:b/>
        </w:rPr>
      </w:pPr>
      <w:r>
        <w:rPr>
          <w:b/>
        </w:rPr>
        <w:t>Artí</w:t>
      </w:r>
      <w:r w:rsidR="00E962F3">
        <w:rPr>
          <w:b/>
        </w:rPr>
        <w:t>culo 3</w:t>
      </w:r>
      <w:r w:rsidRPr="005113E4">
        <w:rPr>
          <w:b/>
        </w:rPr>
        <w:t xml:space="preserve">. Funciones </w:t>
      </w:r>
      <w:r w:rsidR="006F67A3">
        <w:rPr>
          <w:b/>
        </w:rPr>
        <w:t xml:space="preserve"> </w:t>
      </w:r>
    </w:p>
    <w:p w14:paraId="74A909E9" w14:textId="0C136562" w:rsidR="003D3633" w:rsidRDefault="005113E4" w:rsidP="00E962F3">
      <w:pPr>
        <w:spacing w:line="276" w:lineRule="auto"/>
        <w:jc w:val="both"/>
      </w:pPr>
      <w:r>
        <w:t>Las funciones de la Comisión de Títulos son:</w:t>
      </w:r>
    </w:p>
    <w:p w14:paraId="13EE2D87" w14:textId="6C5FC4E5" w:rsidR="005113E4" w:rsidRDefault="005113E4" w:rsidP="00E962F3">
      <w:pPr>
        <w:spacing w:line="276" w:lineRule="auto"/>
        <w:jc w:val="both"/>
      </w:pPr>
      <w:r>
        <w:t xml:space="preserve">a) Estudiar </w:t>
      </w:r>
      <w:r w:rsidR="004E4933">
        <w:t>las propuestas de implantación, modificación, suspensión o extinción de títulos oficiales que les sean remitidas por cualquiera de los órganos proponentes</w:t>
      </w:r>
      <w:r>
        <w:t>.</w:t>
      </w:r>
    </w:p>
    <w:p w14:paraId="6A8B80A4" w14:textId="14AB8B78" w:rsidR="004E4933" w:rsidRDefault="005113E4" w:rsidP="004E4933">
      <w:pPr>
        <w:spacing w:line="276" w:lineRule="auto"/>
        <w:jc w:val="both"/>
      </w:pPr>
      <w:r>
        <w:t>b)</w:t>
      </w:r>
      <w:r w:rsidR="004E4933">
        <w:t xml:space="preserve"> Emitir</w:t>
      </w:r>
      <w:r>
        <w:t xml:space="preserve"> un informe final sobre la propuesta</w:t>
      </w:r>
      <w:r w:rsidR="004E4933">
        <w:t xml:space="preserve"> en cuestión con carácter previo a su sometimiento al Consejo de Gobierno.</w:t>
      </w:r>
    </w:p>
    <w:p w14:paraId="2D2F996C" w14:textId="75D832BC" w:rsidR="005113E4" w:rsidRDefault="004E4933" w:rsidP="004E4933">
      <w:pPr>
        <w:spacing w:line="276" w:lineRule="auto"/>
        <w:jc w:val="both"/>
      </w:pPr>
      <w:r>
        <w:t>c) Cualquier otra función que le fuera atribuida por normas reglamentarias.</w:t>
      </w:r>
    </w:p>
    <w:p w14:paraId="161D82CD" w14:textId="77777777" w:rsidR="005113E4" w:rsidRDefault="005113E4" w:rsidP="00E962F3">
      <w:pPr>
        <w:spacing w:line="276" w:lineRule="auto"/>
        <w:jc w:val="both"/>
      </w:pPr>
    </w:p>
    <w:p w14:paraId="1E3135C7" w14:textId="59CF8514" w:rsidR="00FE3D04" w:rsidRDefault="005113E4" w:rsidP="00FE3D04">
      <w:pPr>
        <w:spacing w:line="276" w:lineRule="auto"/>
        <w:jc w:val="both"/>
      </w:pPr>
      <w:r>
        <w:t>2</w:t>
      </w:r>
      <w:r w:rsidR="004A189F">
        <w:t>.</w:t>
      </w:r>
      <w:r w:rsidR="00FE3D04">
        <w:t xml:space="preserve"> Para el ejercicio de sus funciones, y dependiendo de las características del proceso sometido a su deliberación y acuerdo, la Comisión de Títulos podrá recabar el informe y/o asesoramiento de expertos que </w:t>
      </w:r>
      <w:r w:rsidR="002908F6">
        <w:t>expres</w:t>
      </w:r>
      <w:r w:rsidR="004A189F">
        <w:t>en</w:t>
      </w:r>
      <w:r w:rsidR="002908F6">
        <w:t xml:space="preserve"> su opinión de forma individual o colegiada</w:t>
      </w:r>
    </w:p>
    <w:p w14:paraId="60E8C3D8" w14:textId="77777777" w:rsidR="00701BFE" w:rsidRDefault="00701BFE" w:rsidP="00E962F3">
      <w:pPr>
        <w:spacing w:line="276" w:lineRule="auto"/>
        <w:jc w:val="both"/>
      </w:pPr>
    </w:p>
    <w:p w14:paraId="5CAE2A48" w14:textId="77777777" w:rsidR="00701BFE" w:rsidRPr="00701BFE" w:rsidRDefault="00E962F3" w:rsidP="00E962F3">
      <w:pPr>
        <w:spacing w:line="276" w:lineRule="auto"/>
        <w:jc w:val="both"/>
        <w:rPr>
          <w:b/>
        </w:rPr>
      </w:pPr>
      <w:r>
        <w:rPr>
          <w:b/>
        </w:rPr>
        <w:t>Artículo 4</w:t>
      </w:r>
      <w:r w:rsidR="00701BFE" w:rsidRPr="00701BFE">
        <w:rPr>
          <w:b/>
        </w:rPr>
        <w:t>. Convocatoria</w:t>
      </w:r>
    </w:p>
    <w:p w14:paraId="2098ECD1" w14:textId="77777777" w:rsidR="00701BFE" w:rsidRDefault="000921B9" w:rsidP="00E962F3">
      <w:pPr>
        <w:spacing w:line="276" w:lineRule="auto"/>
        <w:jc w:val="both"/>
      </w:pPr>
      <w:r>
        <w:t xml:space="preserve">1. La Comisión de Títulos </w:t>
      </w:r>
      <w:r w:rsidR="00701BFE">
        <w:t>se convocará de forma ordinaria en el curso de un procedimiento de implantación, modificación</w:t>
      </w:r>
      <w:r w:rsidR="005113E4">
        <w:t>, suspensión</w:t>
      </w:r>
      <w:r w:rsidR="00701BFE">
        <w:t xml:space="preserve"> o extinción de un Título Oficial de Grado, Master y Doctorado</w:t>
      </w:r>
      <w:r w:rsidR="004C38F3">
        <w:t>.</w:t>
      </w:r>
    </w:p>
    <w:p w14:paraId="25C1CD8B" w14:textId="77777777" w:rsidR="00701BFE" w:rsidRDefault="00701BFE" w:rsidP="00E962F3">
      <w:pPr>
        <w:spacing w:line="276" w:lineRule="auto"/>
        <w:jc w:val="both"/>
      </w:pPr>
    </w:p>
    <w:p w14:paraId="16F70924" w14:textId="77777777" w:rsidR="00701BFE" w:rsidRDefault="00701BFE" w:rsidP="00E962F3">
      <w:pPr>
        <w:spacing w:line="276" w:lineRule="auto"/>
        <w:jc w:val="both"/>
      </w:pPr>
      <w:r>
        <w:lastRenderedPageBreak/>
        <w:t>2. Asimismo podrá convocarse de forma extraordinaria, de existir circunstancias graves e urgentes que as</w:t>
      </w:r>
      <w:r w:rsidR="004C38F3">
        <w:t>í lo exijan, a solicitud de la P</w:t>
      </w:r>
      <w:r>
        <w:t>residencia de la Comisión o de</w:t>
      </w:r>
      <w:r w:rsidR="00FE3D04">
        <w:t xml:space="preserve"> un </w:t>
      </w:r>
      <w:r w:rsidR="00346C97">
        <w:t>mínimo del 20% del total de miembros</w:t>
      </w:r>
      <w:r>
        <w:t>.</w:t>
      </w:r>
    </w:p>
    <w:p w14:paraId="1E267409" w14:textId="77777777" w:rsidR="00701BFE" w:rsidRDefault="00701BFE" w:rsidP="00E962F3">
      <w:pPr>
        <w:spacing w:line="276" w:lineRule="auto"/>
        <w:jc w:val="both"/>
      </w:pPr>
    </w:p>
    <w:p w14:paraId="443E3B76" w14:textId="77777777" w:rsidR="00701BFE" w:rsidRDefault="00701BFE" w:rsidP="00E962F3">
      <w:pPr>
        <w:spacing w:line="276" w:lineRule="auto"/>
        <w:jc w:val="both"/>
      </w:pPr>
      <w:r>
        <w:t xml:space="preserve">3. La convocatoria </w:t>
      </w:r>
      <w:r w:rsidR="000921B9">
        <w:t xml:space="preserve">de las sesiones </w:t>
      </w:r>
      <w:r>
        <w:t xml:space="preserve">se efectuará </w:t>
      </w:r>
      <w:r w:rsidR="000921B9">
        <w:t xml:space="preserve">por escrito por </w:t>
      </w:r>
      <w:r w:rsidR="00B45254">
        <w:t xml:space="preserve">quien ejerza las funciones de </w:t>
      </w:r>
      <w:r w:rsidR="000921B9">
        <w:t>Secretario/a de la Comisión</w:t>
      </w:r>
      <w:r w:rsidR="00B45254">
        <w:t>,</w:t>
      </w:r>
      <w:r w:rsidR="000921B9">
        <w:t xml:space="preserve"> con una antelación mínima de cuatro</w:t>
      </w:r>
      <w:r w:rsidR="00FE3D04">
        <w:t xml:space="preserve"> días hábiles </w:t>
      </w:r>
      <w:r>
        <w:t xml:space="preserve"> respecto a la fecha prevista para su celebración, excepto en el caso de convocatoria </w:t>
      </w:r>
      <w:r w:rsidR="00B45254">
        <w:t xml:space="preserve">extraordinaria </w:t>
      </w:r>
      <w:r w:rsidR="00FE3D04">
        <w:t>que será de 48</w:t>
      </w:r>
      <w:r>
        <w:t xml:space="preserve"> horas de antelación.</w:t>
      </w:r>
    </w:p>
    <w:p w14:paraId="227BEE91" w14:textId="77777777" w:rsidR="00701BFE" w:rsidRDefault="00701BFE" w:rsidP="00E962F3">
      <w:pPr>
        <w:spacing w:line="276" w:lineRule="auto"/>
        <w:jc w:val="both"/>
      </w:pPr>
    </w:p>
    <w:p w14:paraId="077BFC35" w14:textId="77777777" w:rsidR="00701BFE" w:rsidRDefault="00701BFE" w:rsidP="00E962F3">
      <w:pPr>
        <w:spacing w:line="276" w:lineRule="auto"/>
        <w:jc w:val="both"/>
      </w:pPr>
      <w:r>
        <w:t>4. En la convocatoria se hará constar necesariamente los puntos del orden del día que se someterán a debate y en su caso votación en la reunión.</w:t>
      </w:r>
    </w:p>
    <w:p w14:paraId="3A873454" w14:textId="77777777" w:rsidR="00F605A5" w:rsidRDefault="00F605A5" w:rsidP="00E962F3">
      <w:pPr>
        <w:spacing w:line="276" w:lineRule="auto"/>
        <w:jc w:val="both"/>
      </w:pPr>
    </w:p>
    <w:p w14:paraId="6FEF4165" w14:textId="6367C307" w:rsidR="00F605A5" w:rsidRDefault="00F605A5" w:rsidP="00E962F3">
      <w:pPr>
        <w:spacing w:line="276" w:lineRule="auto"/>
        <w:jc w:val="both"/>
      </w:pPr>
      <w:r>
        <w:t>5.</w:t>
      </w:r>
      <w:r w:rsidR="004C38F3">
        <w:t xml:space="preserve"> La Presidencia</w:t>
      </w:r>
      <w:r w:rsidR="0064018D">
        <w:t xml:space="preserve">, por iniciativa propia o a petición del 20% de los miembros de la Comisión, podrá convocar a las sesiones de la misma a otros miembros de la comunidad universitaria que podrán asistir con </w:t>
      </w:r>
      <w:r w:rsidR="004A189F">
        <w:t>voz,</w:t>
      </w:r>
      <w:r w:rsidR="0064018D">
        <w:t xml:space="preserve"> pero sin voto</w:t>
      </w:r>
      <w:r>
        <w:t>.</w:t>
      </w:r>
    </w:p>
    <w:p w14:paraId="48ACB973" w14:textId="77777777" w:rsidR="00FD317A" w:rsidRDefault="00FD317A" w:rsidP="00E962F3">
      <w:pPr>
        <w:spacing w:line="276" w:lineRule="auto"/>
        <w:jc w:val="both"/>
      </w:pPr>
    </w:p>
    <w:p w14:paraId="25535110" w14:textId="77777777" w:rsidR="00FD317A" w:rsidRDefault="00F605A5" w:rsidP="00E962F3">
      <w:pPr>
        <w:spacing w:line="276" w:lineRule="auto"/>
        <w:jc w:val="both"/>
      </w:pPr>
      <w:r>
        <w:t>6</w:t>
      </w:r>
      <w:r w:rsidR="00FD317A">
        <w:t xml:space="preserve">. Se podrán celebrar sesiones virtuales, tanto ordinarias como extraordinarias, cuando la naturaleza de los </w:t>
      </w:r>
      <w:r w:rsidR="00346C97">
        <w:t>temas a tratar así lo aconsejen.</w:t>
      </w:r>
    </w:p>
    <w:p w14:paraId="085995F4" w14:textId="77777777" w:rsidR="00701BFE" w:rsidRDefault="00701BFE" w:rsidP="00E962F3">
      <w:pPr>
        <w:spacing w:line="276" w:lineRule="auto"/>
        <w:jc w:val="both"/>
      </w:pPr>
    </w:p>
    <w:p w14:paraId="26F61220" w14:textId="4239B0AA" w:rsidR="00701BFE" w:rsidRPr="00701BFE" w:rsidRDefault="00E962F3" w:rsidP="00E962F3">
      <w:pPr>
        <w:spacing w:line="276" w:lineRule="auto"/>
        <w:jc w:val="both"/>
        <w:rPr>
          <w:b/>
        </w:rPr>
      </w:pPr>
      <w:r>
        <w:rPr>
          <w:b/>
        </w:rPr>
        <w:t>Artículo 5</w:t>
      </w:r>
      <w:r w:rsidR="0064018D">
        <w:rPr>
          <w:b/>
        </w:rPr>
        <w:t>. Válida c</w:t>
      </w:r>
      <w:r w:rsidR="00701BFE" w:rsidRPr="00701BFE">
        <w:rPr>
          <w:b/>
        </w:rPr>
        <w:t xml:space="preserve">onstitución </w:t>
      </w:r>
    </w:p>
    <w:p w14:paraId="49222593" w14:textId="77777777" w:rsidR="00701BFE" w:rsidRDefault="00701BFE" w:rsidP="00E962F3">
      <w:pPr>
        <w:spacing w:line="276" w:lineRule="auto"/>
        <w:jc w:val="both"/>
      </w:pPr>
      <w:r>
        <w:t xml:space="preserve">La Comisión de Títulos se entenderá válidamente constituida cuando concurra, en primera convocatoria, la </w:t>
      </w:r>
      <w:r w:rsidR="00F605A5">
        <w:t>mitad má</w:t>
      </w:r>
      <w:r w:rsidR="00FE3D04">
        <w:t xml:space="preserve">s uno </w:t>
      </w:r>
      <w:r w:rsidR="0064018D">
        <w:t>de sus miembros</w:t>
      </w:r>
      <w:r w:rsidR="00346C97">
        <w:t>. De no constituir</w:t>
      </w:r>
      <w:r w:rsidR="004C38F3">
        <w:t>se en primera convocatoria, la  C</w:t>
      </w:r>
      <w:r w:rsidR="00346C97">
        <w:t xml:space="preserve">omisión se </w:t>
      </w:r>
      <w:r w:rsidR="0064018D">
        <w:t>constituirá</w:t>
      </w:r>
      <w:r w:rsidR="00346C97">
        <w:t xml:space="preserve"> en segunda</w:t>
      </w:r>
      <w:r w:rsidR="004C38F3">
        <w:t xml:space="preserve"> convocatoria treinta minutos má</w:t>
      </w:r>
      <w:r w:rsidR="00346C97">
        <w:t xml:space="preserve">s tarde, bastando con la asistencia de </w:t>
      </w:r>
      <w:r>
        <w:t>un tercio de</w:t>
      </w:r>
      <w:r w:rsidR="0064018D">
        <w:t xml:space="preserve"> sus miembros</w:t>
      </w:r>
      <w:r>
        <w:t>.</w:t>
      </w:r>
    </w:p>
    <w:p w14:paraId="3E084AF9" w14:textId="77777777" w:rsidR="00701BFE" w:rsidRDefault="00701BFE" w:rsidP="00E962F3">
      <w:pPr>
        <w:spacing w:line="276" w:lineRule="auto"/>
        <w:jc w:val="both"/>
      </w:pPr>
    </w:p>
    <w:p w14:paraId="78A8C628" w14:textId="0931453B" w:rsidR="0064018D" w:rsidRPr="0064018D" w:rsidRDefault="0064018D" w:rsidP="00E962F3">
      <w:pPr>
        <w:spacing w:line="276" w:lineRule="auto"/>
        <w:jc w:val="both"/>
        <w:rPr>
          <w:b/>
        </w:rPr>
      </w:pPr>
      <w:r w:rsidRPr="0064018D">
        <w:rPr>
          <w:b/>
        </w:rPr>
        <w:t xml:space="preserve">Artículo 6. Régimen de las sesiones </w:t>
      </w:r>
    </w:p>
    <w:p w14:paraId="7DC6E324" w14:textId="77777777" w:rsidR="00F32489" w:rsidRDefault="0064018D" w:rsidP="00E962F3">
      <w:pPr>
        <w:spacing w:line="276" w:lineRule="auto"/>
        <w:jc w:val="both"/>
      </w:pPr>
      <w:r>
        <w:t>1</w:t>
      </w:r>
      <w:r w:rsidR="000921B9">
        <w:t>. No podrán ser objeto de deliberación</w:t>
      </w:r>
      <w:r w:rsidR="00346C97">
        <w:t>,</w:t>
      </w:r>
      <w:r w:rsidR="000921B9">
        <w:t xml:space="preserve"> votación</w:t>
      </w:r>
      <w:r w:rsidR="00E962F3">
        <w:t xml:space="preserve"> </w:t>
      </w:r>
      <w:r w:rsidR="00346C97">
        <w:t xml:space="preserve">y/o acuerdo </w:t>
      </w:r>
      <w:r w:rsidR="00E962F3">
        <w:t>aquellos</w:t>
      </w:r>
      <w:r w:rsidR="000921B9">
        <w:t xml:space="preserve"> </w:t>
      </w:r>
      <w:r w:rsidR="00E962F3">
        <w:t xml:space="preserve">asuntos </w:t>
      </w:r>
      <w:r w:rsidR="000921B9">
        <w:t xml:space="preserve">que no figuren en el orden del </w:t>
      </w:r>
      <w:r w:rsidR="00E962F3">
        <w:t>día</w:t>
      </w:r>
      <w:r w:rsidR="000921B9">
        <w:t xml:space="preserve">, salvo que </w:t>
      </w:r>
      <w:r w:rsidR="00346C97">
        <w:t xml:space="preserve">se hallen </w:t>
      </w:r>
      <w:r w:rsidR="00E962F3">
        <w:t xml:space="preserve">presentes </w:t>
      </w:r>
      <w:r w:rsidR="00346C97">
        <w:t xml:space="preserve">todos los miembros </w:t>
      </w:r>
      <w:r w:rsidR="004C38F3">
        <w:t>de la C</w:t>
      </w:r>
      <w:r w:rsidR="00E962F3">
        <w:t xml:space="preserve">omisión y </w:t>
      </w:r>
      <w:r w:rsidR="00346C97">
        <w:t>sea declarada la urgencia por el voto favorable de la mayoría de los miembros</w:t>
      </w:r>
      <w:r w:rsidR="00E962F3">
        <w:t xml:space="preserve">. </w:t>
      </w:r>
    </w:p>
    <w:p w14:paraId="5204CA99" w14:textId="77777777" w:rsidR="0064018D" w:rsidRDefault="0064018D" w:rsidP="00E962F3">
      <w:pPr>
        <w:spacing w:line="276" w:lineRule="auto"/>
        <w:jc w:val="both"/>
      </w:pPr>
    </w:p>
    <w:p w14:paraId="1CDD266D" w14:textId="7DF2014C" w:rsidR="00F32489" w:rsidRDefault="004A0BE3" w:rsidP="00F32489">
      <w:pPr>
        <w:spacing w:line="276" w:lineRule="auto"/>
        <w:jc w:val="both"/>
      </w:pPr>
      <w:r>
        <w:t>2</w:t>
      </w:r>
      <w:r w:rsidR="00F32489">
        <w:t>. Los miembros de la Comisión que tengan un interés personal en un asunto</w:t>
      </w:r>
      <w:r w:rsidR="004A189F">
        <w:t xml:space="preserve"> sometido a la misma, lo</w:t>
      </w:r>
      <w:r w:rsidR="00F32489">
        <w:t xml:space="preserve"> comunicarán a</w:t>
      </w:r>
      <w:r w:rsidR="004C38F3">
        <w:t xml:space="preserve"> </w:t>
      </w:r>
      <w:r w:rsidR="00F32489">
        <w:t>l</w:t>
      </w:r>
      <w:r w:rsidR="004C38F3">
        <w:t>a Presidencia</w:t>
      </w:r>
      <w:r w:rsidR="00F32489">
        <w:t xml:space="preserve"> a fin de que decida sobre la necesidad de que este miembro se abstenga </w:t>
      </w:r>
      <w:r>
        <w:t xml:space="preserve">de intervenir en las deliberaciones y/ o </w:t>
      </w:r>
      <w:r w:rsidR="00F32489">
        <w:t>en la votación.</w:t>
      </w:r>
    </w:p>
    <w:p w14:paraId="6B17EB14" w14:textId="77777777" w:rsidR="004A0BE3" w:rsidRDefault="004A0BE3" w:rsidP="00E962F3">
      <w:pPr>
        <w:spacing w:line="276" w:lineRule="auto"/>
        <w:jc w:val="both"/>
      </w:pPr>
    </w:p>
    <w:p w14:paraId="5EF2E2AC" w14:textId="3A3B477E" w:rsidR="00E962F3" w:rsidRDefault="004A0BE3" w:rsidP="00E962F3">
      <w:pPr>
        <w:spacing w:line="276" w:lineRule="auto"/>
        <w:jc w:val="both"/>
      </w:pPr>
      <w:r w:rsidRPr="004A0BE3">
        <w:rPr>
          <w:b/>
        </w:rPr>
        <w:t>Artículo 7. Votaciones y adopción de acuerdos</w:t>
      </w:r>
    </w:p>
    <w:p w14:paraId="26EECCFB" w14:textId="77777777" w:rsidR="004A0BE3" w:rsidRDefault="004A0BE3" w:rsidP="004A0BE3">
      <w:pPr>
        <w:spacing w:line="276" w:lineRule="auto"/>
        <w:jc w:val="both"/>
      </w:pPr>
      <w:r>
        <w:t>1</w:t>
      </w:r>
      <w:r w:rsidR="00701BFE">
        <w:t xml:space="preserve">. </w:t>
      </w:r>
      <w:r w:rsidR="00424E1F">
        <w:t xml:space="preserve">Los acuerdos de la Comisión requerirán, en cualquier caso, el voto favorable de la mayoría de los miembros presentes en la reunión.  </w:t>
      </w:r>
      <w:r>
        <w:t>En caso de empate decidirá el voto de calidad de</w:t>
      </w:r>
      <w:r w:rsidR="004C38F3">
        <w:t xml:space="preserve"> </w:t>
      </w:r>
      <w:r>
        <w:t>l</w:t>
      </w:r>
      <w:r w:rsidR="004C38F3">
        <w:t>a Presidencia</w:t>
      </w:r>
      <w:r>
        <w:t xml:space="preserve"> de la Comisión.</w:t>
      </w:r>
    </w:p>
    <w:p w14:paraId="323A93A0" w14:textId="77777777" w:rsidR="004A0BE3" w:rsidRDefault="004A0BE3" w:rsidP="00E962F3">
      <w:pPr>
        <w:spacing w:line="276" w:lineRule="auto"/>
        <w:jc w:val="both"/>
      </w:pPr>
    </w:p>
    <w:p w14:paraId="0C3E1DD2" w14:textId="77777777" w:rsidR="004A0BE3" w:rsidRDefault="004A0BE3" w:rsidP="00E962F3">
      <w:pPr>
        <w:spacing w:line="276" w:lineRule="auto"/>
        <w:jc w:val="both"/>
      </w:pPr>
      <w:r>
        <w:t>2. No cabe delegar el voto en otro miembro de la Comisión</w:t>
      </w:r>
    </w:p>
    <w:p w14:paraId="460AB9B6" w14:textId="77777777" w:rsidR="004A0BE3" w:rsidRDefault="004A0BE3" w:rsidP="00E962F3">
      <w:pPr>
        <w:spacing w:line="276" w:lineRule="auto"/>
        <w:jc w:val="both"/>
      </w:pPr>
    </w:p>
    <w:p w14:paraId="24834C57" w14:textId="77777777" w:rsidR="004A0BE3" w:rsidRDefault="004A0BE3" w:rsidP="00E962F3">
      <w:pPr>
        <w:spacing w:line="276" w:lineRule="auto"/>
        <w:jc w:val="both"/>
      </w:pPr>
      <w:r>
        <w:lastRenderedPageBreak/>
        <w:t xml:space="preserve">3.  </w:t>
      </w:r>
      <w:r w:rsidR="00424E1F">
        <w:t>El voto será secreto cuando lo soli</w:t>
      </w:r>
      <w:r w:rsidR="00FE3D04">
        <w:t>cite al menos un miembro de la C</w:t>
      </w:r>
      <w:r w:rsidR="00424E1F">
        <w:t>omisión.</w:t>
      </w:r>
      <w:r w:rsidR="00E962F3">
        <w:t xml:space="preserve"> </w:t>
      </w:r>
    </w:p>
    <w:p w14:paraId="5C147B8C" w14:textId="77777777" w:rsidR="004A0BE3" w:rsidRDefault="004A0BE3" w:rsidP="00E962F3">
      <w:pPr>
        <w:spacing w:line="276" w:lineRule="auto"/>
        <w:jc w:val="both"/>
      </w:pPr>
    </w:p>
    <w:p w14:paraId="18D490D0" w14:textId="77777777" w:rsidR="00424E1F" w:rsidRPr="00347B3A" w:rsidRDefault="004A0BE3" w:rsidP="00E962F3">
      <w:pPr>
        <w:spacing w:line="276" w:lineRule="auto"/>
        <w:jc w:val="both"/>
        <w:rPr>
          <w:b/>
        </w:rPr>
      </w:pPr>
      <w:r w:rsidRPr="00347B3A">
        <w:rPr>
          <w:b/>
        </w:rPr>
        <w:t>Artículo 8. Actas</w:t>
      </w:r>
    </w:p>
    <w:p w14:paraId="2DC44512" w14:textId="4828C768" w:rsidR="004A0BE3" w:rsidRDefault="004A0BE3" w:rsidP="004A0BE3">
      <w:pPr>
        <w:spacing w:line="276" w:lineRule="auto"/>
        <w:jc w:val="both"/>
      </w:pPr>
      <w:r>
        <w:t>1. De cada sesión se levantará acta por quien ejerza las funciones de Secretario/a, en donde se especifique</w:t>
      </w:r>
      <w:r w:rsidR="004A189F">
        <w:t>n</w:t>
      </w:r>
      <w:r>
        <w:t xml:space="preserve"> necesariamente los asistentes, orden del </w:t>
      </w:r>
      <w:r w:rsidR="004C38F3">
        <w:t>día</w:t>
      </w:r>
      <w:r>
        <w:t xml:space="preserve">, lugar y tiempo de celebración, puntos principales de las deliberaciones, </w:t>
      </w:r>
      <w:r w:rsidR="004C38F3">
        <w:t>así</w:t>
      </w:r>
      <w:r>
        <w:t xml:space="preserve"> como el contenido de los acuerdos adoptados.</w:t>
      </w:r>
    </w:p>
    <w:p w14:paraId="5D9A7E48" w14:textId="77777777" w:rsidR="00347B3A" w:rsidRDefault="00347B3A" w:rsidP="004A0BE3">
      <w:pPr>
        <w:spacing w:line="276" w:lineRule="auto"/>
        <w:jc w:val="both"/>
      </w:pPr>
    </w:p>
    <w:p w14:paraId="0AEB7995" w14:textId="1466F673" w:rsidR="004A0BE3" w:rsidRDefault="004A0BE3" w:rsidP="004A0BE3">
      <w:pPr>
        <w:spacing w:line="276" w:lineRule="auto"/>
        <w:jc w:val="both"/>
      </w:pPr>
      <w:r>
        <w:t xml:space="preserve">2. Cualquier miembro asistente a la sesión podrá solicitar que conste expresamente en el acta su posición, voto contrario o abstención a un acuerdo adoptado en la Comisión. Asimismo, cualquier miembro tiene derecho a solicitar la transcripción </w:t>
      </w:r>
      <w:r w:rsidR="00477C91">
        <w:t>íntegra</w:t>
      </w:r>
      <w:r>
        <w:t xml:space="preserve"> de su intervención</w:t>
      </w:r>
      <w:r w:rsidR="00347B3A">
        <w:t xml:space="preserve"> o propuesta, siempre que </w:t>
      </w:r>
      <w:r>
        <w:t>aporte en el acto</w:t>
      </w:r>
      <w:r w:rsidR="00347B3A">
        <w:t>, o en el plazo que señale</w:t>
      </w:r>
      <w:r w:rsidR="004C38F3">
        <w:t xml:space="preserve"> la Presidencia</w:t>
      </w:r>
      <w:r w:rsidR="00347B3A">
        <w:t xml:space="preserve">, el texto que se corresponda fielmente con su intervención, haciéndose así constar en el acta o uniéndose copia a la misma. </w:t>
      </w:r>
    </w:p>
    <w:p w14:paraId="06A4126A" w14:textId="77777777" w:rsidR="00347B3A" w:rsidRDefault="00347B3A" w:rsidP="004A0BE3">
      <w:pPr>
        <w:spacing w:line="276" w:lineRule="auto"/>
        <w:jc w:val="both"/>
      </w:pPr>
    </w:p>
    <w:p w14:paraId="5F631258" w14:textId="77777777" w:rsidR="00347B3A" w:rsidRDefault="00347B3A" w:rsidP="004A0BE3">
      <w:pPr>
        <w:spacing w:line="276" w:lineRule="auto"/>
        <w:jc w:val="both"/>
      </w:pPr>
      <w:r>
        <w:t xml:space="preserve">3. Las </w:t>
      </w:r>
      <w:r w:rsidRPr="004A189F">
        <w:t>actas se aprobarán en la misma</w:t>
      </w:r>
      <w:r>
        <w:t xml:space="preserve"> o en la siguiente sesión, pudiendo no obstante emitir el Secretario certificación sobre los acuerdos específicos que se hayan adaptado, sin perjuicio de la ulterior aprobación del acta. </w:t>
      </w:r>
      <w:r w:rsidR="00424E1F">
        <w:t xml:space="preserve"> </w:t>
      </w:r>
    </w:p>
    <w:p w14:paraId="76C3AFC1" w14:textId="77777777" w:rsidR="00347B3A" w:rsidRDefault="00347B3A" w:rsidP="004A0BE3">
      <w:pPr>
        <w:spacing w:line="276" w:lineRule="auto"/>
        <w:jc w:val="both"/>
      </w:pPr>
    </w:p>
    <w:p w14:paraId="4C3A6DA2" w14:textId="77777777" w:rsidR="00347B3A" w:rsidRDefault="00347B3A" w:rsidP="004A0BE3">
      <w:pPr>
        <w:spacing w:line="276" w:lineRule="auto"/>
        <w:jc w:val="both"/>
      </w:pPr>
      <w:r>
        <w:t>4. El Secretario de la Comisión remitirá una copia del acta de cada sesión</w:t>
      </w:r>
      <w:r w:rsidR="004C38F3">
        <w:t xml:space="preserve"> a todos los miembros de la misma</w:t>
      </w:r>
      <w:r>
        <w:t xml:space="preserve"> en un plazo de máximo de 15 días naturales posteriores a la fecha de celebración de la sesión</w:t>
      </w:r>
    </w:p>
    <w:p w14:paraId="788CB6B1" w14:textId="77777777" w:rsidR="004C38F3" w:rsidRDefault="004C38F3" w:rsidP="004A0BE3">
      <w:pPr>
        <w:spacing w:line="276" w:lineRule="auto"/>
        <w:jc w:val="both"/>
      </w:pPr>
    </w:p>
    <w:p w14:paraId="49499225" w14:textId="77777777" w:rsidR="00424E1F" w:rsidRDefault="00347B3A" w:rsidP="004A0BE3">
      <w:pPr>
        <w:spacing w:line="276" w:lineRule="auto"/>
        <w:jc w:val="both"/>
      </w:pPr>
      <w:r>
        <w:t xml:space="preserve">5. Las actas ya aprobadas se publicaran </w:t>
      </w:r>
      <w:r w:rsidR="00424E1F">
        <w:t xml:space="preserve">en la </w:t>
      </w:r>
      <w:r>
        <w:t xml:space="preserve">web </w:t>
      </w:r>
      <w:r w:rsidR="00424E1F">
        <w:t>correspondiente, salvo que la Comisión por mayoría de sus miembros decida su no publicación en atención a los particulares contenidos que pudieran incluirse en el acta</w:t>
      </w:r>
      <w:r w:rsidR="00E962F3">
        <w:t>.</w:t>
      </w:r>
    </w:p>
    <w:p w14:paraId="26787A5F" w14:textId="77777777" w:rsidR="00FD317A" w:rsidRDefault="00FD317A" w:rsidP="00E962F3">
      <w:pPr>
        <w:spacing w:line="276" w:lineRule="auto"/>
        <w:jc w:val="both"/>
      </w:pPr>
    </w:p>
    <w:p w14:paraId="76FB5BAF" w14:textId="77777777" w:rsidR="00FD317A" w:rsidRPr="00FD317A" w:rsidRDefault="004C38F3" w:rsidP="00E962F3">
      <w:pPr>
        <w:spacing w:line="276" w:lineRule="auto"/>
        <w:jc w:val="both"/>
        <w:rPr>
          <w:b/>
        </w:rPr>
      </w:pPr>
      <w:r>
        <w:rPr>
          <w:b/>
        </w:rPr>
        <w:t>Artículo 9</w:t>
      </w:r>
      <w:r w:rsidR="00FD317A" w:rsidRPr="00FD317A">
        <w:rPr>
          <w:b/>
        </w:rPr>
        <w:t>. Subcomisiones</w:t>
      </w:r>
    </w:p>
    <w:p w14:paraId="23F94C3A" w14:textId="77777777" w:rsidR="00FD317A" w:rsidRDefault="00FD317A" w:rsidP="00E962F3">
      <w:pPr>
        <w:spacing w:line="276" w:lineRule="auto"/>
        <w:jc w:val="both"/>
      </w:pPr>
      <w:r>
        <w:t>Podrán establecerse cuantas subcomisiones se estimen oportunas en atención a la naturaleza o entidad del proceso sometido a la Comisión, determinándose su composición, objetivo y competencias al momento de su designación. En todo caso, la actuación competencial de estas subcomisiones no podrá exceder de la de estudio y elaboración de informes, debiendo presentar sus propuestas al pleno de la Comisión para su debate y en su caso aprobación.</w:t>
      </w:r>
    </w:p>
    <w:p w14:paraId="2DEE0618" w14:textId="77777777" w:rsidR="00FD317A" w:rsidRDefault="00FD317A" w:rsidP="00E962F3">
      <w:pPr>
        <w:spacing w:line="276" w:lineRule="auto"/>
        <w:jc w:val="both"/>
      </w:pPr>
    </w:p>
    <w:p w14:paraId="1F6C82F7" w14:textId="77777777" w:rsidR="004C38F3" w:rsidRDefault="004C38F3" w:rsidP="00E962F3">
      <w:pPr>
        <w:spacing w:line="276" w:lineRule="auto"/>
        <w:jc w:val="both"/>
        <w:rPr>
          <w:b/>
        </w:rPr>
      </w:pPr>
    </w:p>
    <w:p w14:paraId="20E8F2B5" w14:textId="77777777" w:rsidR="004C38F3" w:rsidRDefault="004C38F3" w:rsidP="00E962F3">
      <w:pPr>
        <w:spacing w:line="276" w:lineRule="auto"/>
        <w:jc w:val="both"/>
        <w:rPr>
          <w:b/>
        </w:rPr>
      </w:pPr>
      <w:r>
        <w:rPr>
          <w:b/>
        </w:rPr>
        <w:t>Disposición Adicional</w:t>
      </w:r>
    </w:p>
    <w:p w14:paraId="23B3CD57" w14:textId="77777777" w:rsidR="004C38F3" w:rsidRDefault="004C38F3" w:rsidP="004C38F3">
      <w:pPr>
        <w:spacing w:line="276" w:lineRule="auto"/>
        <w:jc w:val="both"/>
        <w:rPr>
          <w:rFonts w:cstheme="minorHAnsi"/>
        </w:rPr>
      </w:pPr>
      <w:r w:rsidRPr="00D8044E">
        <w:rPr>
          <w:rFonts w:eastAsia="Times New Roman" w:cs="Times New Roman"/>
        </w:rPr>
        <w:t xml:space="preserve">En aplicación de la Ley 3/2007, de 22 de marzo, para la igualdad efectiva de mujeres y hombres, así como la Ley 12/2007, de 26 de noviembre, para la promoción de la igualdad de género en Andalucía, toda referencia a personas o colectivos incluida en este Reglamento, estará haciendo referencia al género </w:t>
      </w:r>
      <w:r w:rsidRPr="00D8044E">
        <w:rPr>
          <w:rFonts w:eastAsia="Times New Roman" w:cs="Times New Roman"/>
        </w:rPr>
        <w:lastRenderedPageBreak/>
        <w:t>gramatical neutro, incluyendo, por lo tanto, la posibilidad de referirse tanto a mujeres como a hombres</w:t>
      </w:r>
      <w:r>
        <w:rPr>
          <w:rFonts w:cstheme="minorHAnsi"/>
        </w:rPr>
        <w:t>.</w:t>
      </w:r>
    </w:p>
    <w:p w14:paraId="43D9564D" w14:textId="77777777" w:rsidR="004C38F3" w:rsidRDefault="004C38F3" w:rsidP="00E962F3">
      <w:pPr>
        <w:spacing w:line="276" w:lineRule="auto"/>
        <w:jc w:val="both"/>
        <w:rPr>
          <w:b/>
        </w:rPr>
      </w:pPr>
    </w:p>
    <w:p w14:paraId="03D09DB2" w14:textId="77777777" w:rsidR="004C38F3" w:rsidRDefault="004C38F3" w:rsidP="00E962F3">
      <w:pPr>
        <w:spacing w:line="276" w:lineRule="auto"/>
        <w:jc w:val="both"/>
        <w:rPr>
          <w:b/>
        </w:rPr>
      </w:pPr>
    </w:p>
    <w:p w14:paraId="753E6158" w14:textId="77777777" w:rsidR="00FD317A" w:rsidRDefault="004C38F3" w:rsidP="00E962F3">
      <w:pPr>
        <w:spacing w:line="276" w:lineRule="auto"/>
        <w:jc w:val="both"/>
      </w:pPr>
      <w:r>
        <w:rPr>
          <w:b/>
        </w:rPr>
        <w:t>Disposición F</w:t>
      </w:r>
      <w:r w:rsidR="00FD317A" w:rsidRPr="00FD317A">
        <w:rPr>
          <w:b/>
        </w:rPr>
        <w:t>inal</w:t>
      </w:r>
    </w:p>
    <w:p w14:paraId="75296932" w14:textId="77777777" w:rsidR="00FD317A" w:rsidRDefault="00FD317A" w:rsidP="00E962F3">
      <w:pPr>
        <w:spacing w:line="276" w:lineRule="auto"/>
        <w:jc w:val="both"/>
      </w:pPr>
      <w:r>
        <w:t xml:space="preserve">El presente reglamento entrará en vigor al día siguiente de su aprobación en Consejo de Gobierno, </w:t>
      </w:r>
      <w:r w:rsidR="004C38F3">
        <w:t>debiendo publicarse en el BOUCA y en la página web de la Universidad.</w:t>
      </w:r>
    </w:p>
    <w:p w14:paraId="50B5A9A9" w14:textId="77777777" w:rsidR="00E962F3" w:rsidRDefault="00E962F3" w:rsidP="00E962F3">
      <w:pPr>
        <w:spacing w:line="276" w:lineRule="auto"/>
        <w:jc w:val="both"/>
      </w:pPr>
    </w:p>
    <w:p w14:paraId="643A9408" w14:textId="77777777" w:rsidR="00E962F3" w:rsidRDefault="00E962F3" w:rsidP="00E962F3">
      <w:pPr>
        <w:spacing w:line="276" w:lineRule="auto"/>
        <w:jc w:val="both"/>
      </w:pPr>
    </w:p>
    <w:p w14:paraId="364DD65E" w14:textId="77777777" w:rsidR="00EE556B" w:rsidRDefault="00EE556B" w:rsidP="00E962F3">
      <w:pPr>
        <w:spacing w:line="276" w:lineRule="auto"/>
        <w:jc w:val="both"/>
      </w:pPr>
    </w:p>
    <w:p w14:paraId="6325975B" w14:textId="77777777" w:rsidR="00701BFE" w:rsidRDefault="00701BFE" w:rsidP="00E962F3">
      <w:pPr>
        <w:spacing w:line="276" w:lineRule="auto"/>
        <w:jc w:val="both"/>
      </w:pPr>
    </w:p>
    <w:sectPr w:rsidR="00701BFE" w:rsidSect="00EA5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EF858" w14:textId="77777777" w:rsidR="00FE5E2F" w:rsidRDefault="00FE5E2F" w:rsidP="004A189F">
      <w:r>
        <w:separator/>
      </w:r>
    </w:p>
  </w:endnote>
  <w:endnote w:type="continuationSeparator" w:id="0">
    <w:p w14:paraId="59D325B7" w14:textId="77777777" w:rsidR="00FE5E2F" w:rsidRDefault="00FE5E2F" w:rsidP="004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4A3E" w14:textId="77777777" w:rsidR="004A189F" w:rsidRDefault="004A18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3D39" w14:textId="77777777" w:rsidR="004A189F" w:rsidRDefault="004A18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4F31" w14:textId="77777777" w:rsidR="004A189F" w:rsidRDefault="004A18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EE12" w14:textId="77777777" w:rsidR="00FE5E2F" w:rsidRDefault="00FE5E2F" w:rsidP="004A189F">
      <w:r>
        <w:separator/>
      </w:r>
    </w:p>
  </w:footnote>
  <w:footnote w:type="continuationSeparator" w:id="0">
    <w:p w14:paraId="660BD091" w14:textId="77777777" w:rsidR="00FE5E2F" w:rsidRDefault="00FE5E2F" w:rsidP="004A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1C6B" w14:textId="77777777" w:rsidR="004A189F" w:rsidRDefault="004A18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10794"/>
      <w:docPartObj>
        <w:docPartGallery w:val="Watermarks"/>
        <w:docPartUnique/>
      </w:docPartObj>
    </w:sdtPr>
    <w:sdtEndPr/>
    <w:sdtContent>
      <w:p w14:paraId="7F3AC934" w14:textId="374B1B9D" w:rsidR="004A189F" w:rsidRDefault="00FE5E2F">
        <w:pPr>
          <w:pStyle w:val="Encabezado"/>
        </w:pPr>
        <w:r>
          <w:pict w14:anchorId="244CC4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0FE0" w14:textId="77777777" w:rsidR="004A189F" w:rsidRDefault="004A18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204"/>
    <w:multiLevelType w:val="hybridMultilevel"/>
    <w:tmpl w:val="ABFED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9A5"/>
    <w:multiLevelType w:val="hybridMultilevel"/>
    <w:tmpl w:val="F5626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231"/>
    <w:multiLevelType w:val="hybridMultilevel"/>
    <w:tmpl w:val="3C7E2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12C"/>
    <w:multiLevelType w:val="hybridMultilevel"/>
    <w:tmpl w:val="4BAEB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BA6AFC0"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6C25"/>
    <w:multiLevelType w:val="hybridMultilevel"/>
    <w:tmpl w:val="F8D6C152"/>
    <w:lvl w:ilvl="0" w:tplc="8952AB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E"/>
    <w:rsid w:val="000921B9"/>
    <w:rsid w:val="000C799E"/>
    <w:rsid w:val="001375F4"/>
    <w:rsid w:val="00191CF0"/>
    <w:rsid w:val="002618FA"/>
    <w:rsid w:val="002908F6"/>
    <w:rsid w:val="002A0F0D"/>
    <w:rsid w:val="002C4E0C"/>
    <w:rsid w:val="00346C97"/>
    <w:rsid w:val="00347B3A"/>
    <w:rsid w:val="00374FD1"/>
    <w:rsid w:val="00387B87"/>
    <w:rsid w:val="003D3633"/>
    <w:rsid w:val="00424E1F"/>
    <w:rsid w:val="00477C91"/>
    <w:rsid w:val="004A0BE3"/>
    <w:rsid w:val="004A189F"/>
    <w:rsid w:val="004C38F3"/>
    <w:rsid w:val="004E4933"/>
    <w:rsid w:val="005113E4"/>
    <w:rsid w:val="005F1B1C"/>
    <w:rsid w:val="0064018D"/>
    <w:rsid w:val="00665C0D"/>
    <w:rsid w:val="006D5509"/>
    <w:rsid w:val="006F67A3"/>
    <w:rsid w:val="00701BFE"/>
    <w:rsid w:val="00724C13"/>
    <w:rsid w:val="007C1F46"/>
    <w:rsid w:val="007D022C"/>
    <w:rsid w:val="0081309C"/>
    <w:rsid w:val="00AB32B2"/>
    <w:rsid w:val="00B21466"/>
    <w:rsid w:val="00B45254"/>
    <w:rsid w:val="00E42E60"/>
    <w:rsid w:val="00E962F3"/>
    <w:rsid w:val="00EA5D38"/>
    <w:rsid w:val="00EE556B"/>
    <w:rsid w:val="00EF7F3A"/>
    <w:rsid w:val="00F32489"/>
    <w:rsid w:val="00F50884"/>
    <w:rsid w:val="00F605A5"/>
    <w:rsid w:val="00FD317A"/>
    <w:rsid w:val="00FE3D04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E3C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BF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31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1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17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1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17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1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17A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A1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8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9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BF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31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1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17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1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17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1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17A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A1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8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9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7DED-9E7B-422B-8427-8774B007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Garrido Perez</dc:creator>
  <cp:lastModifiedBy>Usuario</cp:lastModifiedBy>
  <cp:revision>2</cp:revision>
  <dcterms:created xsi:type="dcterms:W3CDTF">2019-12-12T10:33:00Z</dcterms:created>
  <dcterms:modified xsi:type="dcterms:W3CDTF">2019-12-12T10:33:00Z</dcterms:modified>
</cp:coreProperties>
</file>