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19" w:rsidRDefault="00345319">
      <w:pPr>
        <w:pStyle w:val="Standard"/>
      </w:pPr>
    </w:p>
    <w:p w:rsidR="00345319" w:rsidRDefault="00345319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345319" w:rsidRDefault="001E5416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345319" w:rsidRDefault="00345319">
            <w:pPr>
              <w:pStyle w:val="Standard"/>
              <w:jc w:val="center"/>
            </w:pPr>
          </w:p>
          <w:p w:rsidR="00345319" w:rsidRDefault="001E5416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345319" w:rsidRDefault="001E5416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345319" w:rsidRDefault="001E5416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>
              <w:t>Mª Ángeles Rojas López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hyperlink r:id="rId8" w:history="1">
              <w:r w:rsidRPr="006D467C">
                <w:rPr>
                  <w:rStyle w:val="Hipervnculo"/>
                </w:rPr>
                <w:t>mariangeles.rojas@uca.es</w:t>
              </w:r>
            </w:hyperlink>
          </w:p>
        </w:tc>
      </w:tr>
      <w:tr w:rsidR="00345319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 xml:space="preserve">Norma a la </w:t>
            </w:r>
            <w:r>
              <w:rPr>
                <w:b/>
              </w:rPr>
              <w:t>que se presentan alegaciones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 w:rsidRPr="00ED1BDC">
              <w:t>Propuesta de Modificación del Reglamento de Provisión de Puestos de Trabajo del PAS Funcionario de la UCA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>
              <w:t>24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ED1BDC">
            <w:pPr>
              <w:pStyle w:val="Standard"/>
              <w:snapToGrid w:val="0"/>
            </w:pPr>
            <w:r>
              <w:t>4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345319">
            <w:pPr>
              <w:pStyle w:val="Standard"/>
              <w:snapToGrid w:val="0"/>
            </w:pPr>
          </w:p>
        </w:tc>
      </w:tr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345319" w:rsidRPr="004E4BF3" w:rsidRDefault="00ED1BDC">
            <w:pPr>
              <w:pStyle w:val="Standard"/>
              <w:rPr>
                <w:rFonts w:ascii="Garamond" w:hAnsi="Garamond"/>
                <w:b/>
                <w:sz w:val="22"/>
                <w:szCs w:val="22"/>
              </w:rPr>
            </w:pPr>
            <w:r w:rsidRPr="004E4BF3">
              <w:rPr>
                <w:rFonts w:ascii="Garamond" w:hAnsi="Garamond"/>
                <w:b/>
                <w:sz w:val="22"/>
                <w:szCs w:val="22"/>
              </w:rPr>
              <w:t>Añadir el párrafo siguiente:</w:t>
            </w:r>
          </w:p>
          <w:p w:rsidR="00ED1BDC" w:rsidRDefault="00ED1BDC" w:rsidP="00ED1BDC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En los puestos </w:t>
            </w:r>
            <w:r w:rsidRPr="00ED1BDC">
              <w:rPr>
                <w:rFonts w:ascii="Garamond" w:hAnsi="Garamond"/>
                <w:sz w:val="22"/>
                <w:szCs w:val="22"/>
              </w:rPr>
              <w:t xml:space="preserve">de libre </w:t>
            </w:r>
            <w:r w:rsidRPr="00ED1BDC">
              <w:rPr>
                <w:rFonts w:ascii="Garamond" w:hAnsi="Garamond"/>
                <w:sz w:val="22"/>
                <w:szCs w:val="22"/>
              </w:rPr>
              <w:t>designación</w:t>
            </w:r>
            <w:r>
              <w:rPr>
                <w:rFonts w:ascii="Garamond" w:hAnsi="Garamond"/>
                <w:sz w:val="22"/>
                <w:szCs w:val="22"/>
              </w:rPr>
              <w:t xml:space="preserve"> de </w:t>
            </w:r>
          </w:p>
          <w:p w:rsidR="00ED1BDC" w:rsidRPr="00ED1BDC" w:rsidRDefault="00ED1BDC" w:rsidP="00ED1BDC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Secretario del Rector </w:t>
            </w:r>
          </w:p>
          <w:p w:rsidR="00ED1BDC" w:rsidRPr="00ED1BDC" w:rsidRDefault="00ED1BDC" w:rsidP="00ED1BDC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 w:rsidRPr="00ED1BDC">
              <w:rPr>
                <w:rFonts w:ascii="Garamond" w:hAnsi="Garamond"/>
                <w:sz w:val="22"/>
                <w:szCs w:val="22"/>
              </w:rPr>
              <w:t>Secretario de</w:t>
            </w:r>
            <w:r>
              <w:rPr>
                <w:rFonts w:ascii="Garamond" w:hAnsi="Garamond"/>
                <w:sz w:val="22"/>
                <w:szCs w:val="22"/>
              </w:rPr>
              <w:t>l Secretario del Consejo Social</w:t>
            </w:r>
          </w:p>
          <w:p w:rsidR="00ED1BDC" w:rsidRPr="00ED1BDC" w:rsidRDefault="00ED1BDC" w:rsidP="00ED1BDC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 w:rsidRPr="00ED1BDC">
              <w:rPr>
                <w:rFonts w:ascii="Garamond" w:hAnsi="Garamond"/>
                <w:sz w:val="22"/>
                <w:szCs w:val="22"/>
              </w:rPr>
              <w:t>S</w:t>
            </w:r>
            <w:r>
              <w:rPr>
                <w:rFonts w:ascii="Garamond" w:hAnsi="Garamond"/>
                <w:sz w:val="22"/>
                <w:szCs w:val="22"/>
              </w:rPr>
              <w:t>ecretario del Equipo Rectoral</w:t>
            </w:r>
          </w:p>
          <w:p w:rsidR="00ED1BDC" w:rsidRDefault="00ED1BDC" w:rsidP="00ED1BDC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 w:rsidRPr="00ED1BDC">
              <w:rPr>
                <w:rFonts w:ascii="Garamond" w:hAnsi="Garamond"/>
                <w:sz w:val="22"/>
                <w:szCs w:val="22"/>
              </w:rPr>
              <w:t>Secr</w:t>
            </w:r>
            <w:r>
              <w:rPr>
                <w:rFonts w:ascii="Garamond" w:hAnsi="Garamond"/>
                <w:sz w:val="22"/>
                <w:szCs w:val="22"/>
              </w:rPr>
              <w:t>etario de Decano o Director</w:t>
            </w:r>
          </w:p>
          <w:p w:rsidR="00ED1BDC" w:rsidRDefault="00ED1BDC" w:rsidP="00ED1BDC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no será de aplicación el párrafo anterior debido a la singularidad del puesto de trabajo y </w:t>
            </w:r>
            <w:r w:rsidRPr="00ED1BDC">
              <w:rPr>
                <w:rFonts w:ascii="Garamond" w:hAnsi="Garamond"/>
                <w:sz w:val="22"/>
                <w:szCs w:val="22"/>
              </w:rPr>
              <w:t>en el caso de cese en dichos puestos</w:t>
            </w:r>
            <w:r w:rsidR="004E4BF3">
              <w:rPr>
                <w:rFonts w:ascii="Garamond" w:hAnsi="Garamond"/>
                <w:sz w:val="22"/>
                <w:szCs w:val="22"/>
              </w:rPr>
              <w:t xml:space="preserve"> cuando el mismo no sea por decisión voluntaria del interesado, se le abonará un </w:t>
            </w:r>
            <w:r w:rsidRPr="00ED1BDC">
              <w:rPr>
                <w:rFonts w:ascii="Garamond" w:hAnsi="Garamond"/>
                <w:sz w:val="22"/>
                <w:szCs w:val="22"/>
              </w:rPr>
              <w:t>complemento personal, de carácter n</w:t>
            </w:r>
            <w:r w:rsidR="004E4BF3">
              <w:rPr>
                <w:rFonts w:ascii="Garamond" w:hAnsi="Garamond"/>
                <w:sz w:val="22"/>
                <w:szCs w:val="22"/>
              </w:rPr>
              <w:t xml:space="preserve">o absorbible, </w:t>
            </w:r>
            <w:r w:rsidRPr="00ED1BDC">
              <w:rPr>
                <w:rFonts w:ascii="Garamond" w:hAnsi="Garamond"/>
                <w:sz w:val="22"/>
                <w:szCs w:val="22"/>
              </w:rPr>
              <w:t xml:space="preserve">revalorizable anualmente, </w:t>
            </w:r>
            <w:r w:rsidR="004E4BF3">
              <w:rPr>
                <w:rFonts w:ascii="Garamond" w:hAnsi="Garamond"/>
                <w:sz w:val="22"/>
                <w:szCs w:val="22"/>
              </w:rPr>
              <w:t xml:space="preserve">cuya cuantía </w:t>
            </w:r>
            <w:r w:rsidRPr="00ED1BDC">
              <w:rPr>
                <w:rFonts w:ascii="Garamond" w:hAnsi="Garamond"/>
                <w:sz w:val="22"/>
                <w:szCs w:val="22"/>
              </w:rPr>
              <w:t>consistirá en la diferencia de retribuciones anuales entre el puesto de Secretario en el que cesa y el nuevo puesto de trabajo que ocupen</w:t>
            </w:r>
            <w:r w:rsidR="004E4BF3">
              <w:rPr>
                <w:rFonts w:ascii="Garamond" w:hAnsi="Garamond"/>
                <w:sz w:val="22"/>
                <w:szCs w:val="22"/>
              </w:rPr>
              <w:t xml:space="preserve"> (tanto en adscripción provisional como en carácter definitivo)</w:t>
            </w:r>
            <w:r w:rsidRPr="00ED1BDC">
              <w:rPr>
                <w:rFonts w:ascii="Garamond" w:hAnsi="Garamond"/>
                <w:sz w:val="22"/>
                <w:szCs w:val="22"/>
              </w:rPr>
              <w:t>, siempre que éste tenga menor retribuciones que el puesto en el que cesan.</w:t>
            </w:r>
          </w:p>
          <w:p w:rsidR="00345319" w:rsidRDefault="00345319">
            <w:pPr>
              <w:pStyle w:val="Standard"/>
            </w:pPr>
          </w:p>
          <w:p w:rsidR="00345319" w:rsidRDefault="00345319">
            <w:pPr>
              <w:pStyle w:val="Standard"/>
            </w:pPr>
          </w:p>
        </w:tc>
      </w:tr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Ttulo1"/>
              <w:snapToGrid w:val="0"/>
            </w:pPr>
            <w:r>
              <w:lastRenderedPageBreak/>
              <w:t>Breve explicación y motivación de la alegación:</w:t>
            </w:r>
          </w:p>
        </w:tc>
      </w:tr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4BF3" w:rsidRPr="00524251" w:rsidRDefault="004E4BF3" w:rsidP="004E4BF3">
            <w:pPr>
              <w:pStyle w:val="Standard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 xml:space="preserve">Los derechos solicitados </w:t>
            </w:r>
            <w:r w:rsidR="00524251" w:rsidRPr="00524251">
              <w:rPr>
                <w:rFonts w:ascii="Garamond" w:hAnsi="Garamond"/>
                <w:sz w:val="22"/>
                <w:szCs w:val="22"/>
              </w:rPr>
              <w:t xml:space="preserve">en ese nuevo 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párrafo en esta alegación ya se recogieron del mismo modo </w:t>
            </w:r>
            <w:r w:rsidRPr="00524251">
              <w:rPr>
                <w:rFonts w:ascii="Garamond" w:hAnsi="Garamond"/>
                <w:sz w:val="22"/>
                <w:szCs w:val="22"/>
              </w:rPr>
              <w:t>en  el  texto del Acuerdo de Consejo de Gobierno aprobado  del 22 de mayo de 2006 sobre la Revisión Parcial de la Relación de Puestos de Trabajos del Personal Funcionario d</w:t>
            </w:r>
            <w:r w:rsidRPr="00524251">
              <w:rPr>
                <w:rFonts w:ascii="Garamond" w:hAnsi="Garamond"/>
                <w:sz w:val="22"/>
                <w:szCs w:val="22"/>
              </w:rPr>
              <w:t>e Administración y Servicios</w:t>
            </w:r>
            <w:r w:rsidRPr="00524251">
              <w:rPr>
                <w:rFonts w:ascii="Garamond" w:hAnsi="Garamond"/>
                <w:sz w:val="22"/>
                <w:szCs w:val="22"/>
              </w:rPr>
              <w:t>,  donde se firmó por el Rector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y el Presidente de la Junta del P.A.S. </w:t>
            </w:r>
          </w:p>
          <w:p w:rsidR="004E4BF3" w:rsidRPr="00524251" w:rsidRDefault="004E4BF3">
            <w:pPr>
              <w:pStyle w:val="Standard"/>
              <w:snapToGrid w:val="0"/>
              <w:rPr>
                <w:sz w:val="22"/>
                <w:szCs w:val="22"/>
              </w:rPr>
            </w:pPr>
          </w:p>
          <w:p w:rsidR="009F5D40" w:rsidRPr="00524251" w:rsidRDefault="004E4BF3" w:rsidP="004E4BF3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>Basándonos en que la Administración debe respetar los derechos otorgados especial y singularmente a los funcionarios, aun no existiendo derechos adquirido</w:t>
            </w:r>
            <w:r w:rsidR="009F5D40" w:rsidRPr="00524251">
              <w:rPr>
                <w:rFonts w:ascii="Garamond" w:hAnsi="Garamond"/>
                <w:sz w:val="22"/>
                <w:szCs w:val="22"/>
              </w:rPr>
              <w:t>s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 frente al poder organizatorio de la misma, </w:t>
            </w:r>
            <w:r w:rsidR="009F5D40" w:rsidRPr="00524251">
              <w:rPr>
                <w:rFonts w:ascii="Garamond" w:hAnsi="Garamond"/>
                <w:sz w:val="22"/>
                <w:szCs w:val="22"/>
              </w:rPr>
              <w:t xml:space="preserve">solicitamos que se añada ese párrafo 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al tratarse este </w:t>
            </w:r>
            <w:r w:rsidR="009F5D40" w:rsidRPr="00524251">
              <w:rPr>
                <w:rFonts w:ascii="Garamond" w:hAnsi="Garamond"/>
                <w:sz w:val="22"/>
                <w:szCs w:val="22"/>
              </w:rPr>
              <w:t xml:space="preserve">asunto 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de una potestad discrecional </w:t>
            </w:r>
            <w:r w:rsidR="009F5D40" w:rsidRPr="00524251">
              <w:rPr>
                <w:rFonts w:ascii="Garamond" w:hAnsi="Garamond"/>
                <w:sz w:val="22"/>
                <w:szCs w:val="22"/>
              </w:rPr>
              <w:t xml:space="preserve">pudiéndose de nuevo acordarse específicamente este derecho para el colectivo indicado en la alegación. </w:t>
            </w:r>
          </w:p>
          <w:p w:rsidR="009F5D40" w:rsidRPr="00524251" w:rsidRDefault="009F5D40" w:rsidP="004E4BF3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9F5D40" w:rsidRPr="00524251" w:rsidRDefault="009F5D40" w:rsidP="004E4BF3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 xml:space="preserve">El colectivo de secretarios de dirección, debido precisamente a la singularidad del puesto de trabajo, tiene escasas posibilidades de promoción a puestos de nivel superior (no se nos valora la experiencia al igual que al resto de nuestro compañeros ya que no tenemos Unidades o Áreas a las que se nos adscriba, tal y como se demuestra al ser recogido en la disposición adicional cuarta de esta propuesta de reglamento) e incluso aun suponiendo que se intente promocionar al mismo nivel nos encontraríamos con el mismo problema. </w:t>
            </w:r>
          </w:p>
          <w:p w:rsidR="00524251" w:rsidRPr="00524251" w:rsidRDefault="00524251" w:rsidP="00524251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</w:p>
          <w:p w:rsidR="00524251" w:rsidRPr="00524251" w:rsidRDefault="00524251" w:rsidP="00524251">
            <w:pPr>
              <w:pStyle w:val="Standard"/>
              <w:snapToGrid w:val="0"/>
              <w:rPr>
                <w:rFonts w:ascii="Garamond" w:hAnsi="Garamond"/>
                <w:sz w:val="22"/>
                <w:szCs w:val="22"/>
              </w:rPr>
            </w:pPr>
            <w:r w:rsidRPr="00524251">
              <w:rPr>
                <w:rFonts w:ascii="Garamond" w:hAnsi="Garamond"/>
                <w:sz w:val="22"/>
                <w:szCs w:val="22"/>
              </w:rPr>
              <w:t>Esta decisión no sería discriminatoria frente al resto de los otros puestos que son de libre designación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. Estos </w:t>
            </w:r>
            <w:r w:rsidRPr="00524251">
              <w:rPr>
                <w:rFonts w:ascii="Garamond" w:hAnsi="Garamond"/>
                <w:sz w:val="22"/>
                <w:szCs w:val="22"/>
              </w:rPr>
              <w:t>tienen asignado un nivel considerablemente mayor al 20 y con complementos retributivos muchísimo más elevados comparados con los de este colectivo, lo que implicaría que, a la hora de optar por otro puesto de trabajo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 en el caso de haber sido cesados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,  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ocupando puestos de </w:t>
            </w:r>
            <w:r w:rsidRPr="00524251">
              <w:rPr>
                <w:rFonts w:ascii="Garamond" w:hAnsi="Garamond"/>
                <w:sz w:val="22"/>
                <w:szCs w:val="22"/>
              </w:rPr>
              <w:t>esos niveles tendrían más facilidad para que fuesen seleccionados</w:t>
            </w:r>
            <w:r w:rsidRPr="00524251">
              <w:rPr>
                <w:rFonts w:ascii="Garamond" w:hAnsi="Garamond"/>
                <w:sz w:val="22"/>
                <w:szCs w:val="22"/>
              </w:rPr>
              <w:t xml:space="preserve"> en el puesto al que optan</w:t>
            </w:r>
            <w:r w:rsidRPr="00524251">
              <w:rPr>
                <w:rFonts w:ascii="Garamond" w:hAnsi="Garamond"/>
                <w:sz w:val="22"/>
                <w:szCs w:val="22"/>
              </w:rPr>
              <w:t>.</w:t>
            </w:r>
          </w:p>
          <w:p w:rsidR="00345319" w:rsidRDefault="00345319">
            <w:pPr>
              <w:pStyle w:val="Standard"/>
            </w:pPr>
            <w:bookmarkStart w:id="0" w:name="_GoBack"/>
            <w:bookmarkEnd w:id="0"/>
          </w:p>
        </w:tc>
      </w:tr>
      <w:tr w:rsidR="0034531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45319" w:rsidRDefault="001E5416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345319" w:rsidRDefault="00345319">
      <w:pPr>
        <w:pStyle w:val="Standard"/>
      </w:pPr>
    </w:p>
    <w:sectPr w:rsidR="00345319">
      <w:headerReference w:type="default" r:id="rId9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416" w:rsidRDefault="001E5416">
      <w:r>
        <w:separator/>
      </w:r>
    </w:p>
  </w:endnote>
  <w:endnote w:type="continuationSeparator" w:id="0">
    <w:p w:rsidR="001E5416" w:rsidRDefault="001E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55 Roman">
    <w:altName w:val="Arial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416" w:rsidRDefault="001E5416">
      <w:r>
        <w:rPr>
          <w:color w:val="000000"/>
        </w:rPr>
        <w:ptab w:relativeTo="margin" w:alignment="center" w:leader="none"/>
      </w:r>
    </w:p>
  </w:footnote>
  <w:footnote w:type="continuationSeparator" w:id="0">
    <w:p w:rsidR="001E5416" w:rsidRDefault="001E5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CC01EC">
      <w:tblPrEx>
        <w:tblCellMar>
          <w:top w:w="0" w:type="dxa"/>
          <w:bottom w:w="0" w:type="dxa"/>
        </w:tblCellMar>
      </w:tblPrEx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E5416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79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79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E5416">
          <w:pPr>
            <w:pStyle w:val="Titulo1"/>
            <w:snapToGrid w:val="0"/>
            <w:rPr>
              <w:rFonts w:hint="eastAsia"/>
            </w:rPr>
          </w:pPr>
        </w:p>
        <w:p w:rsidR="00CC01EC" w:rsidRDefault="001E5416">
          <w:pPr>
            <w:pStyle w:val="Titulo1"/>
            <w:jc w:val="center"/>
            <w:rPr>
              <w:rFonts w:hint="eastAsia"/>
            </w:rPr>
          </w:pPr>
          <w:r>
            <w:t>Secretaría General</w:t>
          </w:r>
        </w:p>
        <w:p w:rsidR="00CC01EC" w:rsidRDefault="001E5416">
          <w:pPr>
            <w:pStyle w:val="Titulo1"/>
            <w:rPr>
              <w:rFonts w:hint="eastAsia"/>
            </w:rPr>
          </w:pPr>
        </w:p>
        <w:p w:rsidR="00CC01EC" w:rsidRDefault="001E5416">
          <w:pPr>
            <w:pStyle w:val="Titulo1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CC01EC" w:rsidRDefault="001E5416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40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CC01EC" w:rsidRDefault="001E5416">
          <w:pPr>
            <w:pStyle w:val="Textoencabezado"/>
            <w:snapToGrid w:val="0"/>
          </w:pPr>
        </w:p>
        <w:p w:rsidR="00CC01EC" w:rsidRDefault="001E5416">
          <w:pPr>
            <w:pStyle w:val="Textoencabezado"/>
            <w:jc w:val="right"/>
          </w:pPr>
          <w:r>
            <w:t>C/. Ancha, 16. 11001 Cádiz.</w:t>
          </w:r>
        </w:p>
        <w:p w:rsidR="00CC01EC" w:rsidRDefault="001E5416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</w:r>
          <w:r>
            <w:rPr>
              <w:lang w:val="fr-FR"/>
            </w:rPr>
            <w:t xml:space="preserve">     956015075</w:t>
          </w:r>
        </w:p>
        <w:p w:rsidR="00CC01EC" w:rsidRDefault="001E5416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CC01EC" w:rsidRDefault="001E5416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B52"/>
    <w:multiLevelType w:val="multilevel"/>
    <w:tmpl w:val="F1F02D56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45319"/>
    <w:rsid w:val="00094A91"/>
    <w:rsid w:val="001E5416"/>
    <w:rsid w:val="00345319"/>
    <w:rsid w:val="004E4BF3"/>
    <w:rsid w:val="00524251"/>
    <w:rsid w:val="009F5D40"/>
    <w:rsid w:val="00E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4A9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A91"/>
    <w:rPr>
      <w:rFonts w:ascii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D1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ngeles.rojas@uca.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Pirru</cp:lastModifiedBy>
  <cp:revision>2</cp:revision>
  <dcterms:created xsi:type="dcterms:W3CDTF">2005-04-05T08:47:00Z</dcterms:created>
  <dcterms:modified xsi:type="dcterms:W3CDTF">2018-06-24T09:46:00Z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