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152D" w:rsidRPr="00DD1AF8" w:rsidRDefault="00DD1AF8" w:rsidP="00DD1AF8">
      <w:pPr>
        <w:jc w:val="center"/>
        <w:rPr>
          <w:rFonts w:ascii="Garamond" w:hAnsi="Garamond"/>
          <w:b/>
          <w:bCs/>
        </w:rPr>
      </w:pPr>
      <w:r w:rsidRPr="00DD1AF8">
        <w:rPr>
          <w:rFonts w:ascii="Garamond" w:hAnsi="Garamond"/>
          <w:b/>
          <w:bCs/>
        </w:rPr>
        <w:t>Proyecto de Reglamento UCA/CGXX/202X, de X de X,</w:t>
      </w:r>
      <w:r w:rsidR="00713857">
        <w:rPr>
          <w:rFonts w:ascii="Garamond" w:hAnsi="Garamond"/>
          <w:b/>
          <w:bCs/>
        </w:rPr>
        <w:t>…</w:t>
      </w:r>
    </w:p>
    <w:p w:rsidR="00EB152D" w:rsidRDefault="00EB152D" w:rsidP="00DD1AF8">
      <w:pPr>
        <w:jc w:val="both"/>
        <w:rPr>
          <w:rFonts w:ascii="Garamond" w:hAnsi="Garamond"/>
        </w:rPr>
      </w:pPr>
    </w:p>
    <w:p w:rsidR="00DD1AF8" w:rsidRDefault="00DD1AF8" w:rsidP="00DD1AF8">
      <w:pPr>
        <w:jc w:val="both"/>
        <w:rPr>
          <w:rFonts w:ascii="Garamond" w:hAnsi="Garamond"/>
        </w:rPr>
      </w:pPr>
    </w:p>
    <w:p w:rsidR="00DD1AF8" w:rsidRPr="00DD1AF8" w:rsidRDefault="00DD1AF8" w:rsidP="00DD1AF8">
      <w:pPr>
        <w:jc w:val="both"/>
        <w:rPr>
          <w:rFonts w:ascii="Garamond" w:hAnsi="Garamond"/>
        </w:rPr>
      </w:pPr>
    </w:p>
    <w:p w:rsidR="00EB152D" w:rsidRPr="00DD1AF8" w:rsidRDefault="00EB152D" w:rsidP="00DD1AF8">
      <w:pPr>
        <w:jc w:val="both"/>
        <w:rPr>
          <w:rFonts w:ascii="Garamond" w:hAnsi="Garamond"/>
        </w:rPr>
      </w:pPr>
    </w:p>
    <w:p w:rsidR="00EB152D" w:rsidRPr="00DD1AF8" w:rsidRDefault="00DD1AF8" w:rsidP="00DD1AF8">
      <w:pPr>
        <w:jc w:val="both"/>
        <w:rPr>
          <w:rFonts w:ascii="Garamond" w:hAnsi="Garamond"/>
          <w:b/>
          <w:bCs/>
        </w:rPr>
      </w:pPr>
      <w:r w:rsidRPr="00DD1AF8">
        <w:rPr>
          <w:rFonts w:ascii="Garamond" w:hAnsi="Garamond"/>
          <w:b/>
          <w:bCs/>
        </w:rPr>
        <w:t>Preámbulo</w:t>
      </w:r>
    </w:p>
    <w:p w:rsidR="00DD1AF8" w:rsidRDefault="00DD1AF8" w:rsidP="00DD1AF8">
      <w:pPr>
        <w:jc w:val="both"/>
        <w:rPr>
          <w:rFonts w:ascii="Garamond" w:hAnsi="Garamond"/>
        </w:rPr>
      </w:pPr>
    </w:p>
    <w:p w:rsidR="00DD1AF8" w:rsidRPr="00DD1AF8" w:rsidRDefault="00DD1AF8" w:rsidP="00DD1AF8">
      <w:pPr>
        <w:jc w:val="both"/>
        <w:rPr>
          <w:rFonts w:ascii="Garamond" w:hAnsi="Garamond"/>
          <w:color w:val="808080" w:themeColor="background1" w:themeShade="80"/>
        </w:rPr>
      </w:pPr>
      <w:r w:rsidRPr="00DD1AF8">
        <w:rPr>
          <w:rFonts w:ascii="Garamond" w:hAnsi="Garamond"/>
          <w:color w:val="808080" w:themeColor="background1" w:themeShade="80"/>
        </w:rPr>
        <w:t>[Deberá insertar un preámbulo en el que quede suficientemente justificada su adecuación a los principios de necesidad, eficacia, proporcionalidad, seguridad jurídica, transparencia, y eficiencia; así como adecuada constancia de los motivos y fundamentos que lo justifican]</w:t>
      </w:r>
    </w:p>
    <w:p w:rsidR="00DD1AF8" w:rsidRDefault="00DD1AF8" w:rsidP="00DD1AF8">
      <w:pPr>
        <w:jc w:val="both"/>
        <w:rPr>
          <w:rFonts w:ascii="Garamond" w:hAnsi="Garamond"/>
        </w:rPr>
      </w:pPr>
    </w:p>
    <w:p w:rsidR="00DD1AF8" w:rsidRPr="00DD1AF8" w:rsidRDefault="00DD1AF8" w:rsidP="00DD1AF8">
      <w:pPr>
        <w:jc w:val="both"/>
        <w:rPr>
          <w:rFonts w:ascii="Garamond" w:hAnsi="Garamond"/>
          <w:b/>
          <w:bCs/>
        </w:rPr>
      </w:pPr>
      <w:r w:rsidRPr="00DD1AF8">
        <w:rPr>
          <w:rFonts w:ascii="Garamond" w:hAnsi="Garamond"/>
          <w:b/>
          <w:bCs/>
        </w:rPr>
        <w:t>Artículo 1.</w:t>
      </w:r>
      <w:r>
        <w:rPr>
          <w:rFonts w:ascii="Garamond" w:hAnsi="Garamond"/>
          <w:b/>
          <w:bCs/>
        </w:rPr>
        <w:t xml:space="preserve"> X</w:t>
      </w:r>
      <w:r w:rsidR="00136640">
        <w:rPr>
          <w:rFonts w:ascii="Garamond" w:hAnsi="Garamond"/>
          <w:b/>
          <w:bCs/>
        </w:rPr>
        <w:t>.</w:t>
      </w:r>
      <w:r w:rsidR="008B63DC">
        <w:rPr>
          <w:rFonts w:ascii="Garamond" w:hAnsi="Garamond"/>
          <w:b/>
          <w:bCs/>
        </w:rPr>
        <w:t xml:space="preserve"> </w:t>
      </w:r>
      <w:r w:rsidR="008B63DC" w:rsidRPr="008B63DC">
        <w:rPr>
          <w:rFonts w:ascii="Garamond" w:hAnsi="Garamond"/>
          <w:color w:val="808080" w:themeColor="background1" w:themeShade="80"/>
        </w:rPr>
        <w:t>[Por ejemplo</w:t>
      </w:r>
      <w:r w:rsidR="00136640">
        <w:rPr>
          <w:rFonts w:ascii="Garamond" w:hAnsi="Garamond"/>
          <w:color w:val="808080" w:themeColor="background1" w:themeShade="80"/>
        </w:rPr>
        <w:t>:</w:t>
      </w:r>
      <w:r w:rsidR="008B63DC" w:rsidRPr="008B63DC">
        <w:rPr>
          <w:rFonts w:ascii="Garamond" w:hAnsi="Garamond"/>
          <w:color w:val="808080" w:themeColor="background1" w:themeShade="80"/>
        </w:rPr>
        <w:t xml:space="preserve"> Objeto</w:t>
      </w:r>
      <w:r w:rsidR="00136640">
        <w:rPr>
          <w:rFonts w:ascii="Garamond" w:hAnsi="Garamond"/>
          <w:color w:val="808080" w:themeColor="background1" w:themeShade="80"/>
        </w:rPr>
        <w:t>.</w:t>
      </w:r>
      <w:r w:rsidR="008B63DC" w:rsidRPr="008B63DC">
        <w:rPr>
          <w:rFonts w:ascii="Garamond" w:hAnsi="Garamond"/>
          <w:color w:val="808080" w:themeColor="background1" w:themeShade="80"/>
        </w:rPr>
        <w:t>]</w:t>
      </w:r>
      <w:r w:rsidRPr="008B63DC">
        <w:rPr>
          <w:rFonts w:ascii="Garamond" w:hAnsi="Garamond"/>
          <w:b/>
          <w:bCs/>
          <w:color w:val="808080" w:themeColor="background1" w:themeShade="80"/>
        </w:rPr>
        <w:t xml:space="preserve"> </w:t>
      </w:r>
    </w:p>
    <w:p w:rsidR="00DD1AF8" w:rsidRDefault="008B63DC" w:rsidP="00DD1AF8">
      <w:pPr>
        <w:jc w:val="both"/>
        <w:rPr>
          <w:rFonts w:ascii="Garamond" w:hAnsi="Garamond"/>
        </w:rPr>
      </w:pPr>
      <w:r>
        <w:rPr>
          <w:rFonts w:ascii="Garamond" w:hAnsi="Garamond"/>
        </w:rPr>
        <w:t>…</w:t>
      </w:r>
    </w:p>
    <w:p w:rsidR="00136640" w:rsidRDefault="00136640" w:rsidP="00DD1AF8">
      <w:pPr>
        <w:jc w:val="both"/>
        <w:rPr>
          <w:rFonts w:ascii="Garamond" w:hAnsi="Garamond"/>
        </w:rPr>
      </w:pPr>
    </w:p>
    <w:p w:rsidR="00136640" w:rsidRPr="00136640" w:rsidRDefault="00136640" w:rsidP="00136640">
      <w:pPr>
        <w:pStyle w:val="parrafo2"/>
        <w:spacing w:before="0" w:beforeAutospacing="0" w:after="0" w:afterAutospacing="0"/>
        <w:ind w:firstLine="357"/>
        <w:jc w:val="both"/>
        <w:rPr>
          <w:rFonts w:ascii="Garamond" w:hAnsi="Garamond"/>
          <w:color w:val="808080" w:themeColor="background1" w:themeShade="80"/>
        </w:rPr>
      </w:pPr>
      <w:r>
        <w:rPr>
          <w:rFonts w:ascii="Garamond" w:hAnsi="Garamond"/>
          <w:color w:val="808080" w:themeColor="background1" w:themeShade="80"/>
        </w:rPr>
        <w:t>[</w:t>
      </w:r>
      <w:r w:rsidRPr="00136640">
        <w:rPr>
          <w:rStyle w:val="nfasis"/>
          <w:rFonts w:ascii="Garamond" w:hAnsi="Garamond"/>
          <w:color w:val="808080" w:themeColor="background1" w:themeShade="80"/>
        </w:rPr>
        <w:t>Criterios de redacción. </w:t>
      </w:r>
      <w:r w:rsidRPr="00136640">
        <w:rPr>
          <w:rFonts w:ascii="Garamond" w:hAnsi="Garamond"/>
          <w:color w:val="808080" w:themeColor="background1" w:themeShade="80"/>
        </w:rPr>
        <w:t>Los criterios orientadores básicos en la redacción de un artículo son: cada artículo, un tema; cada párrafo, un enunciado; cada enunciado, una idea.</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Los artículos no deberán contener motivaciones o explicaciones, cuyo lugar adecuado es la parte expositiva de la disposición.</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Style w:val="nfasis"/>
          <w:rFonts w:ascii="Garamond" w:hAnsi="Garamond"/>
          <w:color w:val="808080" w:themeColor="background1" w:themeShade="80"/>
        </w:rPr>
        <w:t>Numeración. </w:t>
      </w:r>
      <w:r w:rsidRPr="00136640">
        <w:rPr>
          <w:rFonts w:ascii="Garamond" w:hAnsi="Garamond"/>
          <w:color w:val="808080" w:themeColor="background1" w:themeShade="80"/>
        </w:rPr>
        <w:t>Los artículos se numerarán con cardinales arábigos. En el caso de que la disposición contenga un solo artículo, este deberá designarse como «artículo único». En las normas modificativas, se estará a lo dispuesto en el apartado correspondiente.</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Style w:val="nfasis"/>
          <w:rFonts w:ascii="Garamond" w:hAnsi="Garamond"/>
          <w:color w:val="808080" w:themeColor="background1" w:themeShade="80"/>
        </w:rPr>
        <w:t>Titulación. </w:t>
      </w:r>
      <w:r w:rsidRPr="00136640">
        <w:rPr>
          <w:rFonts w:ascii="Garamond" w:hAnsi="Garamond"/>
          <w:color w:val="808080" w:themeColor="background1" w:themeShade="80"/>
        </w:rPr>
        <w:t>Los artículos deberán llevar un título que indique el contenido o la materia a la que se refieren.</w:t>
      </w:r>
    </w:p>
    <w:p w:rsidR="00136640" w:rsidRPr="00136640" w:rsidRDefault="00136640" w:rsidP="00136640">
      <w:pPr>
        <w:pStyle w:val="parrafo2"/>
        <w:spacing w:before="0" w:beforeAutospacing="0" w:after="0" w:afterAutospacing="0"/>
        <w:ind w:firstLine="357"/>
        <w:jc w:val="both"/>
        <w:rPr>
          <w:rFonts w:ascii="Garamond" w:hAnsi="Garamond"/>
          <w:color w:val="808080" w:themeColor="background1" w:themeShade="80"/>
        </w:rPr>
      </w:pPr>
      <w:r w:rsidRPr="00136640">
        <w:rPr>
          <w:rStyle w:val="nfasis"/>
          <w:rFonts w:ascii="Garamond" w:hAnsi="Garamond"/>
          <w:color w:val="808080" w:themeColor="background1" w:themeShade="80"/>
        </w:rPr>
        <w:t>Extensión. </w:t>
      </w:r>
      <w:r w:rsidRPr="00136640">
        <w:rPr>
          <w:rFonts w:ascii="Garamond" w:hAnsi="Garamond"/>
          <w:color w:val="808080" w:themeColor="background1" w:themeShade="80"/>
        </w:rPr>
        <w:t>Los artículos no deben ser excesivamente largos. Cada artículo debe recoger un precepto, mandato, instrucción o regla, o varios de ellos, siempre que respondan a una misma unidad temática. No es conveniente que los artículos tengan más de cuatro apartados.</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El exceso de subdivisiones dificulta la comprensión del artículo, por lo que resulta más adecuado transformarlas en nuevos artículos.</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Style w:val="nfasis"/>
          <w:rFonts w:ascii="Garamond" w:hAnsi="Garamond"/>
          <w:color w:val="808080" w:themeColor="background1" w:themeShade="80"/>
        </w:rPr>
        <w:t>División del artículo. </w:t>
      </w:r>
      <w:r w:rsidRPr="00136640">
        <w:rPr>
          <w:rFonts w:ascii="Garamond" w:hAnsi="Garamond"/>
          <w:color w:val="808080" w:themeColor="background1" w:themeShade="80"/>
        </w:rPr>
        <w:t>El artículo se divide en apartados, que se numerarán con cardinales arábigos, en cifra, salvo que solo haya uno; en tal caso, no se numerará. Los distintos párrafos de un apartado no se considerarán subdivisiones de este, por lo que no irán numerados.</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 xml:space="preserve">Cuando deba subdividirse un apartado, se hará en párrafos señalados con letras minúsculas, ordenadas alfabéticamente: a), b), c). Cuando el párrafo o bloque de texto deba, a su vez, subdividirse, circunstancia que ha de ser excepcional, se numerarán las divisiones con ordinales arábigos (1.º, 2.º, 3.º </w:t>
      </w:r>
      <w:proofErr w:type="spellStart"/>
      <w:r w:rsidRPr="00136640">
        <w:rPr>
          <w:rFonts w:ascii="Garamond" w:hAnsi="Garamond"/>
          <w:color w:val="808080" w:themeColor="background1" w:themeShade="80"/>
        </w:rPr>
        <w:t>ó</w:t>
      </w:r>
      <w:proofErr w:type="spellEnd"/>
      <w:r w:rsidRPr="00136640">
        <w:rPr>
          <w:rFonts w:ascii="Garamond" w:hAnsi="Garamond"/>
          <w:color w:val="808080" w:themeColor="background1" w:themeShade="80"/>
        </w:rPr>
        <w:t xml:space="preserve"> 1.ª, 2.ª, 3.ª, según proceda).</w:t>
      </w:r>
    </w:p>
    <w:p w:rsidR="00136640" w:rsidRPr="00136640" w:rsidRDefault="00136640" w:rsidP="005B2C7D">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No podrán utilizarse, en ningún caso, guiones, asteriscos ni otro tipo de marcas en el texto de la disposición.</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Style w:val="nfasis"/>
          <w:rFonts w:ascii="Garamond" w:hAnsi="Garamond"/>
          <w:color w:val="808080" w:themeColor="background1" w:themeShade="80"/>
        </w:rPr>
        <w:t>Enumeraciones. </w:t>
      </w:r>
      <w:r w:rsidRPr="00136640">
        <w:rPr>
          <w:rFonts w:ascii="Garamond" w:hAnsi="Garamond"/>
          <w:color w:val="808080" w:themeColor="background1" w:themeShade="80"/>
        </w:rPr>
        <w:t>Las enumeraciones que se realicen en un artículo seguirán las siguientes reglas:</w:t>
      </w:r>
    </w:p>
    <w:p w:rsidR="00136640" w:rsidRPr="00136640" w:rsidRDefault="00136640" w:rsidP="00136640">
      <w:pPr>
        <w:pStyle w:val="parrafo2"/>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a) Todos los ítems deben ser de la misma clase.</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b) En ningún caso deberán ir sangrados, sino que tendrán los mismos márgenes que el resto del texto.</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c) Cada ítem deberá concordar con la fórmula introductoria y, en su caso, con el inciso final.</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d) Las cláusulas introductoria y de cierre no estarán tabuladas.</w:t>
      </w:r>
    </w:p>
    <w:p w:rsidR="00136640" w:rsidRPr="00136640" w:rsidRDefault="00136640" w:rsidP="00136640">
      <w:pPr>
        <w:pStyle w:val="parrafo"/>
        <w:spacing w:before="0" w:beforeAutospacing="0" w:after="0" w:afterAutospacing="0"/>
        <w:ind w:firstLine="357"/>
        <w:jc w:val="both"/>
        <w:rPr>
          <w:rFonts w:ascii="Garamond" w:hAnsi="Garamond"/>
          <w:color w:val="808080" w:themeColor="background1" w:themeShade="80"/>
        </w:rPr>
      </w:pPr>
      <w:r w:rsidRPr="00136640">
        <w:rPr>
          <w:rFonts w:ascii="Garamond" w:hAnsi="Garamond"/>
          <w:color w:val="808080" w:themeColor="background1" w:themeShade="80"/>
        </w:rPr>
        <w:t>e) Como norma general, la primera letra de cada ítem se escribirá con mayúscula y los ítems deberán separarse entre ellos con punto y aparte. En el caso de que la enumeración sea una lista o relación formada únicamente por sintagmas nominales, cada ítem podrá iniciarse con minúscula y acabar con una coma, excepto el penúltimo, que acabará con las conjunciones «o» o «y», y el último, que, de no haber cláusula de cierre, acabará con punto y aparte.</w:t>
      </w:r>
    </w:p>
    <w:p w:rsidR="00136640" w:rsidRPr="00136640" w:rsidRDefault="00136640" w:rsidP="00136640">
      <w:pPr>
        <w:pStyle w:val="parrafo2"/>
        <w:spacing w:before="0" w:beforeAutospacing="0" w:after="0" w:afterAutospacing="0"/>
        <w:ind w:firstLine="357"/>
        <w:jc w:val="both"/>
        <w:rPr>
          <w:rFonts w:ascii="Garamond" w:hAnsi="Garamond"/>
          <w:color w:val="808080" w:themeColor="background1" w:themeShade="80"/>
        </w:rPr>
      </w:pPr>
      <w:r w:rsidRPr="00136640">
        <w:rPr>
          <w:rStyle w:val="nfasis"/>
          <w:rFonts w:ascii="Garamond" w:hAnsi="Garamond"/>
          <w:color w:val="808080" w:themeColor="background1" w:themeShade="80"/>
        </w:rPr>
        <w:lastRenderedPageBreak/>
        <w:t>Letras de las subdivisiones. </w:t>
      </w:r>
      <w:r w:rsidRPr="00136640">
        <w:rPr>
          <w:rFonts w:ascii="Garamond" w:hAnsi="Garamond"/>
          <w:color w:val="808080" w:themeColor="background1" w:themeShade="80"/>
        </w:rPr>
        <w:t>En la ordenación de párrafos con letras minúsculas, se usarán todas las letras simples del alfabeto, incluidas la «ñ» y la «w», pero no los dígrafos «ch» y «ll»</w:t>
      </w:r>
      <w:r>
        <w:rPr>
          <w:rFonts w:ascii="Garamond" w:hAnsi="Garamond"/>
          <w:color w:val="808080" w:themeColor="background1" w:themeShade="80"/>
        </w:rPr>
        <w:t>]</w:t>
      </w:r>
      <w:r w:rsidRPr="00136640">
        <w:rPr>
          <w:rFonts w:ascii="Garamond" w:hAnsi="Garamond"/>
          <w:color w:val="808080" w:themeColor="background1" w:themeShade="80"/>
        </w:rPr>
        <w:t>.</w:t>
      </w:r>
    </w:p>
    <w:p w:rsidR="00DD1AF8" w:rsidRDefault="00DD1AF8" w:rsidP="00DD1AF8">
      <w:pPr>
        <w:jc w:val="both"/>
        <w:rPr>
          <w:rFonts w:ascii="Garamond" w:hAnsi="Garamond"/>
        </w:rPr>
      </w:pPr>
    </w:p>
    <w:p w:rsidR="00DD1AF8" w:rsidRPr="00DD1AF8" w:rsidRDefault="00DD1AF8" w:rsidP="00DD1AF8">
      <w:pPr>
        <w:jc w:val="both"/>
        <w:rPr>
          <w:rFonts w:ascii="Garamond" w:hAnsi="Garamond"/>
          <w:b/>
          <w:bCs/>
        </w:rPr>
      </w:pPr>
      <w:r w:rsidRPr="00DD1AF8">
        <w:rPr>
          <w:rFonts w:ascii="Garamond" w:hAnsi="Garamond"/>
          <w:b/>
          <w:bCs/>
        </w:rPr>
        <w:t xml:space="preserve">Artículo 2. </w:t>
      </w:r>
      <w:r>
        <w:rPr>
          <w:rFonts w:ascii="Garamond" w:hAnsi="Garamond"/>
          <w:b/>
          <w:bCs/>
        </w:rPr>
        <w:t>X</w:t>
      </w:r>
      <w:r w:rsidR="00136640">
        <w:rPr>
          <w:rFonts w:ascii="Garamond" w:hAnsi="Garamond"/>
          <w:b/>
          <w:bCs/>
        </w:rPr>
        <w:t>.</w:t>
      </w:r>
      <w:r w:rsidR="008B63DC">
        <w:rPr>
          <w:rFonts w:ascii="Garamond" w:hAnsi="Garamond"/>
          <w:b/>
          <w:bCs/>
        </w:rPr>
        <w:t xml:space="preserve"> </w:t>
      </w:r>
      <w:r w:rsidR="008B63DC" w:rsidRPr="008B63DC">
        <w:rPr>
          <w:rFonts w:ascii="Garamond" w:hAnsi="Garamond"/>
          <w:color w:val="808080" w:themeColor="background1" w:themeShade="80"/>
        </w:rPr>
        <w:t>[Por ejemplo</w:t>
      </w:r>
      <w:r w:rsidR="00136640">
        <w:rPr>
          <w:rFonts w:ascii="Garamond" w:hAnsi="Garamond"/>
          <w:color w:val="808080" w:themeColor="background1" w:themeShade="80"/>
        </w:rPr>
        <w:t>:</w:t>
      </w:r>
      <w:r w:rsidR="008B63DC" w:rsidRPr="008B63DC">
        <w:rPr>
          <w:rFonts w:ascii="Garamond" w:hAnsi="Garamond"/>
          <w:color w:val="808080" w:themeColor="background1" w:themeShade="80"/>
        </w:rPr>
        <w:t xml:space="preserve"> </w:t>
      </w:r>
      <w:r w:rsidR="008B63DC">
        <w:rPr>
          <w:rFonts w:ascii="Garamond" w:hAnsi="Garamond"/>
          <w:color w:val="808080" w:themeColor="background1" w:themeShade="80"/>
        </w:rPr>
        <w:t>Naturaleza</w:t>
      </w:r>
      <w:r w:rsidR="00136640">
        <w:rPr>
          <w:rFonts w:ascii="Garamond" w:hAnsi="Garamond"/>
          <w:color w:val="808080" w:themeColor="background1" w:themeShade="80"/>
        </w:rPr>
        <w:t>.</w:t>
      </w:r>
      <w:r w:rsidR="008B63DC" w:rsidRPr="008B63DC">
        <w:rPr>
          <w:rFonts w:ascii="Garamond" w:hAnsi="Garamond"/>
          <w:color w:val="808080" w:themeColor="background1" w:themeShade="80"/>
        </w:rPr>
        <w:t>]</w:t>
      </w:r>
    </w:p>
    <w:p w:rsidR="008B63DC" w:rsidRDefault="008B63DC" w:rsidP="008B63DC">
      <w:pPr>
        <w:jc w:val="both"/>
        <w:rPr>
          <w:rFonts w:ascii="Garamond" w:hAnsi="Garamond"/>
        </w:rPr>
      </w:pPr>
      <w:r>
        <w:rPr>
          <w:rFonts w:ascii="Garamond" w:hAnsi="Garamond"/>
        </w:rPr>
        <w:t>1. …</w:t>
      </w:r>
    </w:p>
    <w:p w:rsidR="008B63DC" w:rsidRDefault="008B63DC" w:rsidP="008B63DC">
      <w:pPr>
        <w:jc w:val="both"/>
        <w:rPr>
          <w:rFonts w:ascii="Garamond" w:hAnsi="Garamond"/>
        </w:rPr>
      </w:pPr>
      <w:r>
        <w:rPr>
          <w:rFonts w:ascii="Garamond" w:hAnsi="Garamond"/>
        </w:rPr>
        <w:t>2. …</w:t>
      </w:r>
    </w:p>
    <w:p w:rsidR="008B63DC" w:rsidRDefault="008B63DC" w:rsidP="008B63DC">
      <w:pPr>
        <w:jc w:val="both"/>
        <w:rPr>
          <w:rFonts w:ascii="Garamond" w:hAnsi="Garamond"/>
        </w:rPr>
      </w:pPr>
      <w:r>
        <w:rPr>
          <w:rFonts w:ascii="Garamond" w:hAnsi="Garamond"/>
        </w:rPr>
        <w:t>3. …</w:t>
      </w:r>
    </w:p>
    <w:p w:rsidR="00F67C3A" w:rsidRDefault="00F67C3A" w:rsidP="008B63DC">
      <w:pPr>
        <w:jc w:val="both"/>
        <w:rPr>
          <w:rFonts w:ascii="Garamond" w:hAnsi="Garamond"/>
        </w:rPr>
      </w:pPr>
      <w:r>
        <w:rPr>
          <w:rFonts w:ascii="Garamond" w:hAnsi="Garamond"/>
        </w:rPr>
        <w:tab/>
        <w:t>a)</w:t>
      </w:r>
    </w:p>
    <w:p w:rsidR="00F67C3A" w:rsidRDefault="00F67C3A" w:rsidP="008B63DC">
      <w:pPr>
        <w:jc w:val="both"/>
        <w:rPr>
          <w:rFonts w:ascii="Garamond" w:hAnsi="Garamond"/>
        </w:rPr>
      </w:pPr>
      <w:r>
        <w:rPr>
          <w:rFonts w:ascii="Garamond" w:hAnsi="Garamond"/>
        </w:rPr>
        <w:tab/>
        <w:t>b)</w:t>
      </w:r>
    </w:p>
    <w:p w:rsidR="00F67C3A" w:rsidRDefault="00F67C3A" w:rsidP="00F67C3A">
      <w:pPr>
        <w:ind w:firstLine="708"/>
        <w:jc w:val="both"/>
        <w:rPr>
          <w:rFonts w:ascii="Garamond" w:hAnsi="Garamond"/>
        </w:rPr>
      </w:pPr>
      <w:r>
        <w:rPr>
          <w:rFonts w:ascii="Garamond" w:hAnsi="Garamond"/>
        </w:rPr>
        <w:t>c)</w:t>
      </w:r>
      <w:r>
        <w:rPr>
          <w:rFonts w:ascii="Garamond" w:hAnsi="Garamond"/>
        </w:rPr>
        <w:tab/>
      </w:r>
    </w:p>
    <w:p w:rsidR="00F67C3A" w:rsidRDefault="00F67C3A" w:rsidP="00F67C3A">
      <w:pPr>
        <w:ind w:firstLine="708"/>
        <w:jc w:val="both"/>
        <w:rPr>
          <w:rFonts w:ascii="Garamond" w:hAnsi="Garamond"/>
        </w:rPr>
      </w:pPr>
      <w:r>
        <w:rPr>
          <w:rFonts w:ascii="Garamond" w:hAnsi="Garamond"/>
        </w:rPr>
        <w:tab/>
        <w:t>1º</w:t>
      </w:r>
    </w:p>
    <w:p w:rsidR="00F67C3A" w:rsidRDefault="00F67C3A" w:rsidP="00F67C3A">
      <w:pPr>
        <w:ind w:firstLine="708"/>
        <w:jc w:val="both"/>
        <w:rPr>
          <w:rFonts w:ascii="Garamond" w:hAnsi="Garamond"/>
        </w:rPr>
      </w:pPr>
      <w:r>
        <w:rPr>
          <w:rFonts w:ascii="Garamond" w:hAnsi="Garamond"/>
        </w:rPr>
        <w:tab/>
        <w:t>2º</w:t>
      </w:r>
    </w:p>
    <w:p w:rsidR="00F67C3A" w:rsidRDefault="00F67C3A" w:rsidP="00F67C3A">
      <w:pPr>
        <w:ind w:firstLine="708"/>
        <w:jc w:val="both"/>
        <w:rPr>
          <w:rFonts w:ascii="Garamond" w:hAnsi="Garamond"/>
        </w:rPr>
      </w:pPr>
      <w:r>
        <w:rPr>
          <w:rFonts w:ascii="Garamond" w:hAnsi="Garamond"/>
        </w:rPr>
        <w:tab/>
        <w:t>3º</w:t>
      </w:r>
    </w:p>
    <w:p w:rsidR="00DD1AF8" w:rsidRDefault="00DD1AF8" w:rsidP="00DD1AF8">
      <w:pPr>
        <w:jc w:val="both"/>
        <w:rPr>
          <w:rFonts w:ascii="Garamond" w:hAnsi="Garamond"/>
        </w:rPr>
      </w:pPr>
    </w:p>
    <w:p w:rsidR="00F67C3A" w:rsidRDefault="00F67C3A" w:rsidP="00DD1AF8">
      <w:pPr>
        <w:jc w:val="both"/>
        <w:rPr>
          <w:rFonts w:ascii="Garamond" w:hAnsi="Garamond"/>
          <w:b/>
          <w:bCs/>
        </w:rPr>
      </w:pPr>
      <w:r w:rsidRPr="00F67C3A">
        <w:rPr>
          <w:rFonts w:ascii="Garamond" w:hAnsi="Garamond"/>
          <w:b/>
          <w:bCs/>
        </w:rPr>
        <w:t>Disposición derogatoria</w:t>
      </w:r>
      <w:r w:rsidR="003F7E3D">
        <w:rPr>
          <w:rFonts w:ascii="Garamond" w:hAnsi="Garamond"/>
          <w:b/>
          <w:bCs/>
        </w:rPr>
        <w:t xml:space="preserve"> única</w:t>
      </w:r>
      <w:r w:rsidRPr="00F67C3A">
        <w:rPr>
          <w:rFonts w:ascii="Garamond" w:hAnsi="Garamond"/>
          <w:b/>
          <w:bCs/>
        </w:rPr>
        <w:t>. Derogación normativa</w:t>
      </w:r>
    </w:p>
    <w:p w:rsidR="00F67C3A" w:rsidRDefault="00F67C3A" w:rsidP="00DD1AF8">
      <w:pPr>
        <w:jc w:val="both"/>
        <w:rPr>
          <w:rFonts w:ascii="Garamond" w:hAnsi="Garamond"/>
          <w:b/>
          <w:bCs/>
        </w:rPr>
      </w:pPr>
    </w:p>
    <w:p w:rsidR="00F67C3A" w:rsidRPr="00F67C3A" w:rsidRDefault="00F67C3A" w:rsidP="00DD1AF8">
      <w:pPr>
        <w:jc w:val="both"/>
        <w:rPr>
          <w:rFonts w:ascii="Garamond" w:hAnsi="Garamond"/>
        </w:rPr>
      </w:pPr>
      <w:r w:rsidRPr="00F67C3A">
        <w:rPr>
          <w:rFonts w:ascii="Garamond" w:hAnsi="Garamond"/>
        </w:rPr>
        <w:t>Queda derogado</w:t>
      </w:r>
      <w:r>
        <w:rPr>
          <w:rFonts w:ascii="Garamond" w:hAnsi="Garamond"/>
        </w:rPr>
        <w:t xml:space="preserve"> el </w:t>
      </w:r>
      <w:r w:rsidRPr="00F67C3A">
        <w:rPr>
          <w:rFonts w:ascii="Garamond" w:hAnsi="Garamond"/>
        </w:rPr>
        <w:t>Reglamento UCA/CGXX/202X, de X de X,…</w:t>
      </w:r>
    </w:p>
    <w:p w:rsidR="00F67C3A" w:rsidRDefault="00F67C3A" w:rsidP="00F67C3A">
      <w:pPr>
        <w:jc w:val="both"/>
        <w:rPr>
          <w:rFonts w:ascii="Garamond" w:hAnsi="Garamond"/>
        </w:rPr>
      </w:pPr>
    </w:p>
    <w:p w:rsidR="00F67C3A" w:rsidRPr="00F67C3A" w:rsidRDefault="00F67C3A" w:rsidP="003F7E3D">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w:t>
      </w:r>
      <w:r w:rsidRPr="00F67C3A">
        <w:rPr>
          <w:rStyle w:val="nfasis"/>
          <w:rFonts w:ascii="Garamond" w:hAnsi="Garamond"/>
          <w:color w:val="808080" w:themeColor="background1" w:themeShade="80"/>
        </w:rPr>
        <w:t>Disposiciones derogatorias. </w:t>
      </w:r>
      <w:r w:rsidRPr="00F67C3A">
        <w:rPr>
          <w:rFonts w:ascii="Garamond" w:hAnsi="Garamond"/>
          <w:color w:val="808080" w:themeColor="background1" w:themeShade="80"/>
        </w:rPr>
        <w:t>Las disposiciones derogatorias contendrán únicamente las cláusulas de derogación del derecho vigente, que deberán ser precisas y expresas, y, por ello, habrán de indicar tanto las normas o partes de ellas que se derogan como las que se mantienen en vigor. En el caso de que se precisen las normas que mantienen su vigencia, deberá hacerse en un nuevo apartado de la misma disposición derogatoria.</w:t>
      </w:r>
    </w:p>
    <w:p w:rsidR="00F67C3A" w:rsidRPr="00F67C3A" w:rsidRDefault="00F67C3A" w:rsidP="003F7E3D">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Se evitarán cláusulas genéricas de derogación del derecho vigente que en ningún caso pueden sustituir a la propia enunciación de las normas derogadas.</w:t>
      </w:r>
    </w:p>
    <w:p w:rsidR="00F67C3A" w:rsidRPr="00F67C3A" w:rsidRDefault="00F67C3A" w:rsidP="003F7E3D">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Debe evitarse que, mediante las cláusulas derogatorias, pervivan en el ordenamiento jurídico diversas normas con el mismo ámbito de aplicación. En el caso de que deba mantenerse la vigencia de algunos preceptos de la norma derogada, deberán incorporarse al nuevo texto como disposiciones adicionales o transitorias, según su naturaleza.</w:t>
      </w:r>
    </w:p>
    <w:p w:rsidR="00F67C3A" w:rsidRDefault="00F67C3A" w:rsidP="003F7E3D">
      <w:pPr>
        <w:pStyle w:val="parrafo"/>
        <w:spacing w:before="0" w:beforeAutospacing="0" w:after="0" w:afterAutospacing="0"/>
        <w:ind w:firstLine="357"/>
        <w:jc w:val="both"/>
        <w:rPr>
          <w:rFonts w:ascii="Garamond" w:hAnsi="Garamond"/>
          <w:color w:val="808080" w:themeColor="background1" w:themeShade="80"/>
        </w:rPr>
      </w:pPr>
      <w:r w:rsidRPr="00F67C3A">
        <w:rPr>
          <w:rFonts w:ascii="Garamond" w:hAnsi="Garamond"/>
          <w:color w:val="808080" w:themeColor="background1" w:themeShade="80"/>
        </w:rPr>
        <w:t>No es preciso exceptuar de la derogación lo dispuesto en las disposiciones transitorias, pues las disposiciones derogatorias no prevalecen sobre esta</w:t>
      </w:r>
      <w:r w:rsidR="005B2C7D">
        <w:rPr>
          <w:rFonts w:ascii="Garamond" w:hAnsi="Garamond"/>
          <w:color w:val="808080" w:themeColor="background1" w:themeShade="80"/>
        </w:rPr>
        <w:t>s</w:t>
      </w:r>
      <w:r w:rsidRPr="00F67C3A">
        <w:rPr>
          <w:rFonts w:ascii="Garamond" w:hAnsi="Garamond"/>
          <w:color w:val="808080" w:themeColor="background1" w:themeShade="80"/>
        </w:rPr>
        <w:t>.]</w:t>
      </w:r>
    </w:p>
    <w:p w:rsidR="00F67C3A" w:rsidRPr="00F67C3A" w:rsidRDefault="00F67C3A" w:rsidP="00F67C3A">
      <w:pPr>
        <w:pStyle w:val="parrafo"/>
        <w:spacing w:before="0" w:beforeAutospacing="0" w:after="0" w:afterAutospacing="0"/>
        <w:jc w:val="both"/>
        <w:rPr>
          <w:rFonts w:ascii="Garamond" w:hAnsi="Garamond"/>
          <w:color w:val="808080" w:themeColor="background1" w:themeShade="80"/>
        </w:rPr>
      </w:pPr>
    </w:p>
    <w:p w:rsidR="00DD1AF8" w:rsidRDefault="00DD1AF8" w:rsidP="00DD1AF8">
      <w:pPr>
        <w:jc w:val="both"/>
        <w:rPr>
          <w:rFonts w:ascii="Garamond" w:hAnsi="Garamond"/>
          <w:b/>
          <w:bCs/>
        </w:rPr>
      </w:pPr>
      <w:r w:rsidRPr="00DD1AF8">
        <w:rPr>
          <w:rFonts w:ascii="Garamond" w:hAnsi="Garamond"/>
          <w:b/>
          <w:bCs/>
        </w:rPr>
        <w:t>Disposición final</w:t>
      </w:r>
      <w:r w:rsidR="003F7E3D">
        <w:rPr>
          <w:rFonts w:ascii="Garamond" w:hAnsi="Garamond"/>
          <w:b/>
          <w:bCs/>
        </w:rPr>
        <w:t xml:space="preserve"> única</w:t>
      </w:r>
      <w:r w:rsidRPr="00DD1AF8">
        <w:rPr>
          <w:rFonts w:ascii="Garamond" w:hAnsi="Garamond"/>
          <w:b/>
          <w:bCs/>
        </w:rPr>
        <w:t>. Entrada en vigor</w:t>
      </w:r>
    </w:p>
    <w:p w:rsidR="00DD1AF8" w:rsidRDefault="00DD1AF8" w:rsidP="00DD1AF8">
      <w:pPr>
        <w:jc w:val="both"/>
        <w:rPr>
          <w:rFonts w:ascii="Garamond" w:hAnsi="Garamond"/>
        </w:rPr>
      </w:pPr>
    </w:p>
    <w:p w:rsidR="00DD1AF8" w:rsidRPr="00DD1AF8" w:rsidRDefault="00DD1AF8" w:rsidP="00DD1AF8">
      <w:pPr>
        <w:jc w:val="both"/>
        <w:rPr>
          <w:rFonts w:ascii="Garamond" w:hAnsi="Garamond"/>
        </w:rPr>
      </w:pPr>
      <w:r w:rsidRPr="00DD1AF8">
        <w:rPr>
          <w:rFonts w:ascii="Garamond" w:hAnsi="Garamond"/>
        </w:rPr>
        <w:t xml:space="preserve">El presente </w:t>
      </w:r>
      <w:r w:rsidR="003F7E3D">
        <w:rPr>
          <w:rFonts w:ascii="Garamond" w:hAnsi="Garamond"/>
        </w:rPr>
        <w:t>r</w:t>
      </w:r>
      <w:r w:rsidRPr="00DD1AF8">
        <w:rPr>
          <w:rFonts w:ascii="Garamond" w:hAnsi="Garamond"/>
        </w:rPr>
        <w:t xml:space="preserve">eglamento entrará en vigor </w:t>
      </w:r>
      <w:r w:rsidR="003F7E3D">
        <w:rPr>
          <w:rFonts w:ascii="Garamond" w:hAnsi="Garamond"/>
        </w:rPr>
        <w:t>e</w:t>
      </w:r>
      <w:r w:rsidRPr="00DD1AF8">
        <w:rPr>
          <w:rFonts w:ascii="Garamond" w:hAnsi="Garamond"/>
        </w:rPr>
        <w:t xml:space="preserve">l día siguiente </w:t>
      </w:r>
      <w:r w:rsidR="003F7E3D">
        <w:rPr>
          <w:rFonts w:ascii="Garamond" w:hAnsi="Garamond"/>
        </w:rPr>
        <w:t xml:space="preserve">al </w:t>
      </w:r>
      <w:r w:rsidRPr="00DD1AF8">
        <w:rPr>
          <w:rFonts w:ascii="Garamond" w:hAnsi="Garamond"/>
        </w:rPr>
        <w:t>de su publicación en el Boletín Oficial de la</w:t>
      </w:r>
      <w:r>
        <w:rPr>
          <w:rFonts w:ascii="Garamond" w:hAnsi="Garamond"/>
        </w:rPr>
        <w:t xml:space="preserve"> </w:t>
      </w:r>
      <w:r w:rsidRPr="00DD1AF8">
        <w:rPr>
          <w:rFonts w:ascii="Garamond" w:hAnsi="Garamond"/>
        </w:rPr>
        <w:t>Universidad de Cádiz.</w:t>
      </w:r>
    </w:p>
    <w:p w:rsidR="00DD1AF8" w:rsidRPr="003F7E3D" w:rsidRDefault="00DD1AF8" w:rsidP="003F7E3D">
      <w:pPr>
        <w:jc w:val="both"/>
        <w:rPr>
          <w:rFonts w:ascii="Garamond" w:hAnsi="Garamond"/>
          <w:color w:val="808080" w:themeColor="background1" w:themeShade="80"/>
        </w:rPr>
      </w:pP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w:t>
      </w:r>
      <w:r w:rsidRPr="003F7E3D">
        <w:rPr>
          <w:rStyle w:val="nfasis"/>
          <w:rFonts w:ascii="Garamond" w:hAnsi="Garamond"/>
          <w:color w:val="808080" w:themeColor="background1" w:themeShade="80"/>
        </w:rPr>
        <w:t>Disposiciones finales. </w:t>
      </w:r>
      <w:r w:rsidRPr="003F7E3D">
        <w:rPr>
          <w:rFonts w:ascii="Garamond" w:hAnsi="Garamond"/>
          <w:color w:val="808080" w:themeColor="background1" w:themeShade="80"/>
        </w:rPr>
        <w:t>Las disposiciones finales incluirán, por este orden:</w:t>
      </w:r>
    </w:p>
    <w:p w:rsidR="003F7E3D" w:rsidRPr="003F7E3D" w:rsidRDefault="003F7E3D" w:rsidP="003F7E3D">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a) Los preceptos que modifiquen el derecho vigente, cuando la modificación no sea objeto principal de la disposición. Tales modificaciones tendrán carácter excepcional.</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b) Las cláusulas de salvaguardia del rango de ciertas disposiciones, así como de salvaguardia de disposiciones normativas o de competencias ajenas. Estas cláusulas tendrán carácter excepcional. Se incluirán aquí:</w:t>
      </w:r>
    </w:p>
    <w:p w:rsidR="003F7E3D" w:rsidRPr="003F7E3D" w:rsidRDefault="003F7E3D" w:rsidP="003F7E3D">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1.º El precepto o los preceptos que atribuyan a ciertas disposiciones de la norma un rango distinto del propio de la norma en general.</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 xml:space="preserve">2.º Las disposiciones o competencias aplicables del ordenamiento autonómico, citando de forma concreta, en lo que se refiere a la distribución de competencias entre el Estado y las comunidades autónomas, el título competencial habilitante. Cuando se produzca una concurrencia de títulos competenciales que fundamentan la norma, deberá especificarse a cuál de ellos responde cada uno de los artículos. Deberá citarse el artículo 149.1 (más el ordinal correspondiente) </w:t>
      </w:r>
      <w:r w:rsidRPr="00C05076">
        <w:rPr>
          <w:rFonts w:ascii="Garamond" w:hAnsi="Garamond"/>
          <w:color w:val="808080" w:themeColor="background1" w:themeShade="80"/>
        </w:rPr>
        <w:t>de </w:t>
      </w:r>
      <w:hyperlink r:id="rId4" w:tgtFrame="_blank" w:tooltip="Abre nueva ventana" w:history="1">
        <w:r w:rsidRPr="00C05076">
          <w:rPr>
            <w:rStyle w:val="Hipervnculo"/>
            <w:rFonts w:ascii="Garamond" w:hAnsi="Garamond"/>
            <w:color w:val="808080" w:themeColor="background1" w:themeShade="80"/>
            <w:u w:val="none"/>
          </w:rPr>
          <w:t>la Constitución</w:t>
        </w:r>
      </w:hyperlink>
      <w:r w:rsidRPr="00C05076">
        <w:rPr>
          <w:rFonts w:ascii="Garamond" w:hAnsi="Garamond"/>
          <w:color w:val="808080" w:themeColor="background1" w:themeShade="80"/>
        </w:rPr>
        <w:t> que</w:t>
      </w:r>
      <w:r w:rsidRPr="003F7E3D">
        <w:rPr>
          <w:rFonts w:ascii="Garamond" w:hAnsi="Garamond"/>
          <w:color w:val="808080" w:themeColor="background1" w:themeShade="80"/>
        </w:rPr>
        <w:t xml:space="preserve"> atribuye la competencia de que se trate y, </w:t>
      </w:r>
      <w:r w:rsidRPr="003F7E3D">
        <w:rPr>
          <w:rFonts w:ascii="Garamond" w:hAnsi="Garamond"/>
          <w:color w:val="808080" w:themeColor="background1" w:themeShade="80"/>
        </w:rPr>
        <w:lastRenderedPageBreak/>
        <w:t>cuando este comprenda varias materias de diferente alcance, deben especificarse los preceptos concretos que se dictan al amparo de una u otra competencia estatal.</w:t>
      </w:r>
    </w:p>
    <w:p w:rsidR="003F7E3D" w:rsidRPr="003F7E3D" w:rsidRDefault="003F7E3D" w:rsidP="003F7E3D">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c) Las reglas de supletoriedad, en su caso.</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d) La incorporación del derecho comunitario al derecho nacional.</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e) Las autorizaciones y mandatos dirigidos a la producción de normas jurídicas (habilitaciones de desarrollo y de aplicación reglamentarios, mandatos de presentación de proyectos normativos, etc.). Las cláusulas de habilitación reglamentaria acotarán el ámbito material, los plazos, si procede, y los principios y criterios que habrá de contener el futuro desarrollo.</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f) Las reglas sobre la entrada en vigor de la norma y la finalización de su vigencia.</w:t>
      </w:r>
    </w:p>
    <w:p w:rsidR="003F7E3D" w:rsidRPr="003F7E3D" w:rsidRDefault="003F7E3D" w:rsidP="003F7E3D">
      <w:pPr>
        <w:pStyle w:val="parrafo2"/>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La entrada en vigor se fijará preferentemente señalando el día, mes y año en que haya de tener lugar. Solo se fijará por referencia a la publicación cuando la nueva disposición deba entrar en vigor de forma inmediata.</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La </w:t>
      </w:r>
      <w:proofErr w:type="spellStart"/>
      <w:r w:rsidRPr="003F7E3D">
        <w:rPr>
          <w:rStyle w:val="nfasis"/>
          <w:rFonts w:ascii="Garamond" w:hAnsi="Garamond"/>
          <w:color w:val="808080" w:themeColor="background1" w:themeShade="80"/>
        </w:rPr>
        <w:t>vacatio</w:t>
      </w:r>
      <w:proofErr w:type="spellEnd"/>
      <w:r w:rsidRPr="003F7E3D">
        <w:rPr>
          <w:rStyle w:val="nfasis"/>
          <w:rFonts w:ascii="Garamond" w:hAnsi="Garamond"/>
          <w:color w:val="808080" w:themeColor="background1" w:themeShade="80"/>
        </w:rPr>
        <w:t xml:space="preserve"> </w:t>
      </w:r>
      <w:proofErr w:type="spellStart"/>
      <w:r w:rsidRPr="003F7E3D">
        <w:rPr>
          <w:rStyle w:val="nfasis"/>
          <w:rFonts w:ascii="Garamond" w:hAnsi="Garamond"/>
          <w:color w:val="808080" w:themeColor="background1" w:themeShade="80"/>
        </w:rPr>
        <w:t>legis</w:t>
      </w:r>
      <w:proofErr w:type="spellEnd"/>
      <w:r w:rsidRPr="003F7E3D">
        <w:rPr>
          <w:rFonts w:ascii="Garamond" w:hAnsi="Garamond"/>
          <w:color w:val="808080" w:themeColor="background1" w:themeShade="80"/>
        </w:rPr>
        <w:t> deberá posibilitar el conocimiento material de la norma y la adopción de las medidas necesarias para su aplicación, de manera que solo con carácter excepcional la nueva disposición entraría en vigor en el mismo momento de su publicación.</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 xml:space="preserve">En el caso de no establecerse ninguna indicación, la norma entrará en vigor a los 20 días de su publicación en el "Boletín Oficial del Estado", de acuerdo con lo dispuesto en </w:t>
      </w:r>
      <w:r w:rsidRPr="00283FAA">
        <w:rPr>
          <w:rFonts w:ascii="Garamond" w:hAnsi="Garamond"/>
          <w:color w:val="808080" w:themeColor="background1" w:themeShade="80"/>
        </w:rPr>
        <w:t>el </w:t>
      </w:r>
      <w:hyperlink r:id="rId5" w:tgtFrame="_blank" w:tooltip="Abre nueva ventana" w:history="1">
        <w:r w:rsidRPr="00283FAA">
          <w:rPr>
            <w:rStyle w:val="Hipervnculo"/>
            <w:rFonts w:ascii="Garamond" w:hAnsi="Garamond"/>
            <w:color w:val="808080" w:themeColor="background1" w:themeShade="80"/>
            <w:u w:val="none"/>
          </w:rPr>
          <w:t>Código Civil</w:t>
        </w:r>
      </w:hyperlink>
      <w:r w:rsidRPr="003F7E3D">
        <w:rPr>
          <w:rFonts w:ascii="Garamond" w:hAnsi="Garamond"/>
          <w:color w:val="808080" w:themeColor="background1" w:themeShade="80"/>
        </w:rPr>
        <w:t>.</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En el caso de que la entrada en vigor sea escalonada, deberán especificarse con toda claridad los artículos cuya entrada en vigor se retrasa o adelanta, así como el momento en que debe producirse su entrada en vigor.</w:t>
      </w:r>
    </w:p>
    <w:p w:rsidR="003F7E3D" w:rsidRPr="003F7E3D" w:rsidRDefault="003F7E3D" w:rsidP="003F7E3D">
      <w:pPr>
        <w:pStyle w:val="parrafo"/>
        <w:spacing w:before="0" w:beforeAutospacing="0" w:after="0" w:afterAutospacing="0"/>
        <w:ind w:firstLine="360"/>
        <w:jc w:val="both"/>
        <w:rPr>
          <w:rFonts w:ascii="Garamond" w:hAnsi="Garamond"/>
          <w:color w:val="808080" w:themeColor="background1" w:themeShade="80"/>
        </w:rPr>
      </w:pPr>
      <w:r w:rsidRPr="003F7E3D">
        <w:rPr>
          <w:rFonts w:ascii="Garamond" w:hAnsi="Garamond"/>
          <w:color w:val="808080" w:themeColor="background1" w:themeShade="80"/>
        </w:rPr>
        <w:t>Si lo que se retrasa es la producción de determinados efectos, la especificación de cuáles son y cuándo tendrán plena eficacia se hará también en una disposición final que fije la eficacia temporal de la norma nueva, salvo cuando ello implique la pervivencia temporal de la norma derogada, que es propio de una disposición transitoria.]</w:t>
      </w:r>
    </w:p>
    <w:p w:rsidR="008B63DC" w:rsidRDefault="008B63DC">
      <w:pPr>
        <w:jc w:val="both"/>
        <w:rPr>
          <w:rFonts w:ascii="Garamond" w:hAnsi="Garamond"/>
        </w:rPr>
      </w:pPr>
    </w:p>
    <w:p w:rsidR="008B63DC" w:rsidRDefault="008B63DC">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pPr>
        <w:jc w:val="both"/>
        <w:rPr>
          <w:rFonts w:ascii="Garamond" w:hAnsi="Garamond"/>
        </w:rPr>
      </w:pPr>
    </w:p>
    <w:p w:rsidR="00BC2A39" w:rsidRDefault="00BC2A39" w:rsidP="008B63DC">
      <w:pPr>
        <w:jc w:val="both"/>
        <w:rPr>
          <w:rFonts w:ascii="Garamond" w:hAnsi="Garamond"/>
        </w:rPr>
      </w:pPr>
    </w:p>
    <w:p w:rsidR="008B63DC" w:rsidRDefault="008B63DC" w:rsidP="008B63DC">
      <w:pPr>
        <w:jc w:val="both"/>
        <w:rPr>
          <w:rFonts w:ascii="Garamond" w:hAnsi="Garamond"/>
        </w:rPr>
      </w:pPr>
    </w:p>
    <w:p w:rsidR="008B63DC" w:rsidRDefault="008B63DC" w:rsidP="008B63DC">
      <w:pPr>
        <w:jc w:val="both"/>
        <w:rPr>
          <w:rFonts w:ascii="Garamond" w:hAnsi="Garamond"/>
        </w:rPr>
      </w:pPr>
    </w:p>
    <w:tbl>
      <w:tblPr>
        <w:tblStyle w:val="Tablaconcuadrcula"/>
        <w:tblW w:w="5000" w:type="pct"/>
        <w:tblLook w:val="04A0" w:firstRow="1" w:lastRow="0" w:firstColumn="1" w:lastColumn="0" w:noHBand="0" w:noVBand="1"/>
      </w:tblPr>
      <w:tblGrid>
        <w:gridCol w:w="933"/>
        <w:gridCol w:w="7561"/>
      </w:tblGrid>
      <w:tr w:rsidR="008B63DC" w:rsidRPr="00274011" w:rsidTr="00670DFC">
        <w:tc>
          <w:tcPr>
            <w:tcW w:w="5000" w:type="pct"/>
            <w:gridSpan w:val="2"/>
          </w:tcPr>
          <w:p w:rsidR="008B63DC" w:rsidRPr="00274011" w:rsidRDefault="008B63DC" w:rsidP="00BC2A39">
            <w:pPr>
              <w:pStyle w:val="NormalWeb"/>
              <w:jc w:val="both"/>
              <w:rPr>
                <w:rFonts w:ascii="Garamond" w:hAnsi="Garamond" w:cs="Calibri"/>
                <w:b/>
                <w:bCs/>
                <w:sz w:val="16"/>
                <w:szCs w:val="16"/>
              </w:rPr>
            </w:pPr>
            <w:r w:rsidRPr="00274011">
              <w:rPr>
                <w:rFonts w:ascii="Garamond" w:hAnsi="Garamond" w:cs="Calibri"/>
                <w:b/>
                <w:bCs/>
                <w:sz w:val="16"/>
                <w:szCs w:val="16"/>
              </w:rPr>
              <w:t>Normativa de aplicación</w:t>
            </w:r>
          </w:p>
        </w:tc>
      </w:tr>
      <w:tr w:rsidR="008B63DC" w:rsidRPr="00274011" w:rsidTr="00670DFC">
        <w:tc>
          <w:tcPr>
            <w:tcW w:w="549" w:type="pct"/>
          </w:tcPr>
          <w:p w:rsidR="008B63DC" w:rsidRPr="00274011" w:rsidRDefault="008B63DC" w:rsidP="00BC2A39">
            <w:pPr>
              <w:pStyle w:val="NormalWeb"/>
              <w:jc w:val="both"/>
              <w:rPr>
                <w:rFonts w:ascii="Garamond" w:hAnsi="Garamond" w:cs="Calibri"/>
                <w:i/>
                <w:iCs/>
                <w:sz w:val="16"/>
                <w:szCs w:val="16"/>
              </w:rPr>
            </w:pPr>
            <w:r w:rsidRPr="00274011">
              <w:rPr>
                <w:rFonts w:ascii="Garamond" w:hAnsi="Garamond" w:cs="Calibri"/>
                <w:i/>
                <w:iCs/>
                <w:sz w:val="16"/>
                <w:szCs w:val="16"/>
              </w:rPr>
              <w:t>Artículos</w:t>
            </w:r>
          </w:p>
        </w:tc>
        <w:tc>
          <w:tcPr>
            <w:tcW w:w="4451" w:type="pct"/>
          </w:tcPr>
          <w:p w:rsidR="008B63DC" w:rsidRPr="00274011" w:rsidRDefault="008B63DC" w:rsidP="00BC2A39">
            <w:pPr>
              <w:pStyle w:val="NormalWeb"/>
              <w:jc w:val="both"/>
              <w:rPr>
                <w:rFonts w:ascii="Garamond" w:hAnsi="Garamond" w:cs="Calibri"/>
                <w:i/>
                <w:iCs/>
                <w:sz w:val="16"/>
                <w:szCs w:val="16"/>
              </w:rPr>
            </w:pPr>
            <w:r w:rsidRPr="00274011">
              <w:rPr>
                <w:rFonts w:ascii="Garamond" w:hAnsi="Garamond" w:cs="Calibri"/>
                <w:i/>
                <w:iCs/>
                <w:sz w:val="16"/>
                <w:szCs w:val="16"/>
              </w:rPr>
              <w:t>Normativa</w:t>
            </w:r>
          </w:p>
        </w:tc>
      </w:tr>
      <w:tr w:rsidR="004F778D" w:rsidRPr="00274011" w:rsidTr="00670DFC">
        <w:tc>
          <w:tcPr>
            <w:tcW w:w="549" w:type="pct"/>
          </w:tcPr>
          <w:p w:rsidR="004F778D" w:rsidRPr="00274011" w:rsidRDefault="004F778D" w:rsidP="00BC2A39">
            <w:pPr>
              <w:pStyle w:val="NormalWeb"/>
              <w:jc w:val="both"/>
              <w:rPr>
                <w:rFonts w:ascii="Garamond" w:hAnsi="Garamond" w:cs="Calibri"/>
                <w:i/>
                <w:iCs/>
                <w:sz w:val="16"/>
                <w:szCs w:val="16"/>
              </w:rPr>
            </w:pPr>
          </w:p>
        </w:tc>
        <w:tc>
          <w:tcPr>
            <w:tcW w:w="4451" w:type="pct"/>
          </w:tcPr>
          <w:p w:rsidR="004F778D" w:rsidRPr="004F778D" w:rsidRDefault="00000000" w:rsidP="00BC2A39">
            <w:pPr>
              <w:pStyle w:val="NormalWeb"/>
              <w:jc w:val="both"/>
              <w:rPr>
                <w:rFonts w:ascii="Garamond" w:hAnsi="Garamond" w:cs="Calibri"/>
                <w:sz w:val="16"/>
                <w:szCs w:val="16"/>
              </w:rPr>
            </w:pPr>
            <w:hyperlink r:id="rId6" w:history="1">
              <w:r w:rsidR="00713857" w:rsidRPr="00713857">
                <w:rPr>
                  <w:rStyle w:val="Hipervnculo"/>
                  <w:rFonts w:ascii="Garamond" w:hAnsi="Garamond" w:cs="Calibri"/>
                  <w:sz w:val="16"/>
                  <w:szCs w:val="16"/>
                </w:rPr>
                <w:t>Resolución de 28 de julio de 2005, de la Subsecretaría, por la que se da publicidad al Acuerdo del Consejo de Ministros, de 22 de julio de 2005, por el que se aprueban las Directrices de técnica normativa</w:t>
              </w:r>
            </w:hyperlink>
          </w:p>
        </w:tc>
      </w:tr>
      <w:tr w:rsidR="00BC2A39" w:rsidRPr="00274011" w:rsidTr="00670DFC">
        <w:tc>
          <w:tcPr>
            <w:tcW w:w="549" w:type="pct"/>
          </w:tcPr>
          <w:p w:rsidR="00BC2A39" w:rsidRPr="00274011" w:rsidRDefault="00BC2A39" w:rsidP="00BC2A39">
            <w:pPr>
              <w:pStyle w:val="NormalWeb"/>
              <w:jc w:val="both"/>
              <w:rPr>
                <w:rFonts w:ascii="Garamond" w:hAnsi="Garamond" w:cs="Calibri"/>
                <w:i/>
                <w:iCs/>
                <w:sz w:val="16"/>
                <w:szCs w:val="16"/>
              </w:rPr>
            </w:pPr>
          </w:p>
        </w:tc>
        <w:tc>
          <w:tcPr>
            <w:tcW w:w="4451" w:type="pct"/>
          </w:tcPr>
          <w:p w:rsidR="00BC2A39" w:rsidRDefault="00BC2A39" w:rsidP="00BC2A39">
            <w:pPr>
              <w:pStyle w:val="NormalWeb"/>
              <w:jc w:val="both"/>
              <w:rPr>
                <w:rFonts w:ascii="Garamond" w:hAnsi="Garamond" w:cs="Calibri"/>
                <w:sz w:val="16"/>
                <w:szCs w:val="16"/>
              </w:rPr>
            </w:pPr>
            <w:r w:rsidRPr="00BC2A39">
              <w:rPr>
                <w:rFonts w:ascii="Garamond" w:hAnsi="Garamond" w:cs="Calibri"/>
                <w:sz w:val="16"/>
                <w:szCs w:val="16"/>
              </w:rPr>
              <w:t>NAVARRO ATIENZA</w:t>
            </w:r>
            <w:r>
              <w:rPr>
                <w:rFonts w:ascii="Garamond" w:hAnsi="Garamond" w:cs="Calibri"/>
                <w:sz w:val="16"/>
                <w:szCs w:val="16"/>
              </w:rPr>
              <w:t xml:space="preserve">, </w:t>
            </w:r>
            <w:r w:rsidRPr="00BC2A39">
              <w:rPr>
                <w:rFonts w:ascii="Garamond" w:hAnsi="Garamond" w:cs="Calibri"/>
                <w:sz w:val="16"/>
                <w:szCs w:val="16"/>
              </w:rPr>
              <w:t>Manuel Andrés</w:t>
            </w:r>
            <w:r>
              <w:rPr>
                <w:rFonts w:ascii="Garamond" w:hAnsi="Garamond" w:cs="Calibri"/>
                <w:sz w:val="16"/>
                <w:szCs w:val="16"/>
              </w:rPr>
              <w:t xml:space="preserve">, </w:t>
            </w:r>
            <w:hyperlink r:id="rId7" w:history="1">
              <w:r w:rsidRPr="00BC2A39">
                <w:rPr>
                  <w:rStyle w:val="Hipervnculo"/>
                  <w:rFonts w:ascii="Garamond" w:hAnsi="Garamond" w:cs="Calibri"/>
                  <w:sz w:val="16"/>
                  <w:szCs w:val="16"/>
                </w:rPr>
                <w:t>Manual Práctico de Técnica Normativa</w:t>
              </w:r>
            </w:hyperlink>
            <w:r>
              <w:rPr>
                <w:rFonts w:ascii="Garamond" w:hAnsi="Garamond" w:cs="Calibri"/>
                <w:sz w:val="16"/>
                <w:szCs w:val="16"/>
              </w:rPr>
              <w:t>, I</w:t>
            </w:r>
            <w:r w:rsidRPr="00BC2A39">
              <w:rPr>
                <w:rFonts w:ascii="Garamond" w:hAnsi="Garamond" w:cs="Calibri"/>
                <w:sz w:val="16"/>
                <w:szCs w:val="16"/>
              </w:rPr>
              <w:t xml:space="preserve">nstituto </w:t>
            </w:r>
            <w:r>
              <w:rPr>
                <w:rFonts w:ascii="Garamond" w:hAnsi="Garamond" w:cs="Calibri"/>
                <w:sz w:val="16"/>
                <w:szCs w:val="16"/>
              </w:rPr>
              <w:t>A</w:t>
            </w:r>
            <w:r w:rsidRPr="00BC2A39">
              <w:rPr>
                <w:rFonts w:ascii="Garamond" w:hAnsi="Garamond" w:cs="Calibri"/>
                <w:sz w:val="16"/>
                <w:szCs w:val="16"/>
              </w:rPr>
              <w:t xml:space="preserve">ndaluz de </w:t>
            </w:r>
            <w:r>
              <w:rPr>
                <w:rFonts w:ascii="Garamond" w:hAnsi="Garamond" w:cs="Calibri"/>
                <w:sz w:val="16"/>
                <w:szCs w:val="16"/>
              </w:rPr>
              <w:t>A</w:t>
            </w:r>
            <w:r w:rsidRPr="00BC2A39">
              <w:rPr>
                <w:rFonts w:ascii="Garamond" w:hAnsi="Garamond" w:cs="Calibri"/>
                <w:sz w:val="16"/>
                <w:szCs w:val="16"/>
              </w:rPr>
              <w:t xml:space="preserve">dministración </w:t>
            </w:r>
            <w:r>
              <w:rPr>
                <w:rFonts w:ascii="Garamond" w:hAnsi="Garamond" w:cs="Calibri"/>
                <w:sz w:val="16"/>
                <w:szCs w:val="16"/>
              </w:rPr>
              <w:t>P</w:t>
            </w:r>
            <w:r w:rsidRPr="00BC2A39">
              <w:rPr>
                <w:rFonts w:ascii="Garamond" w:hAnsi="Garamond" w:cs="Calibri"/>
                <w:sz w:val="16"/>
                <w:szCs w:val="16"/>
              </w:rPr>
              <w:t>ública</w:t>
            </w:r>
            <w:r>
              <w:rPr>
                <w:rFonts w:ascii="Garamond" w:hAnsi="Garamond" w:cs="Calibri"/>
                <w:sz w:val="16"/>
                <w:szCs w:val="16"/>
              </w:rPr>
              <w:t>, S</w:t>
            </w:r>
            <w:r w:rsidRPr="00BC2A39">
              <w:rPr>
                <w:rFonts w:ascii="Garamond" w:hAnsi="Garamond" w:cs="Calibri"/>
                <w:sz w:val="16"/>
                <w:szCs w:val="16"/>
              </w:rPr>
              <w:t>evilla</w:t>
            </w:r>
            <w:r>
              <w:rPr>
                <w:rFonts w:ascii="Garamond" w:hAnsi="Garamond" w:cs="Calibri"/>
                <w:sz w:val="16"/>
                <w:szCs w:val="16"/>
              </w:rPr>
              <w:t xml:space="preserve">, </w:t>
            </w:r>
            <w:r w:rsidRPr="00BC2A39">
              <w:rPr>
                <w:rFonts w:ascii="Garamond" w:hAnsi="Garamond" w:cs="Calibri"/>
                <w:sz w:val="16"/>
                <w:szCs w:val="16"/>
              </w:rPr>
              <w:t>2015</w:t>
            </w:r>
            <w:r>
              <w:rPr>
                <w:rFonts w:ascii="Garamond" w:hAnsi="Garamond" w:cs="Calibri"/>
                <w:sz w:val="16"/>
                <w:szCs w:val="16"/>
              </w:rPr>
              <w:t xml:space="preserve">. </w:t>
            </w:r>
          </w:p>
        </w:tc>
      </w:tr>
    </w:tbl>
    <w:p w:rsidR="008B63DC" w:rsidRDefault="008B63DC" w:rsidP="008B63DC">
      <w:pPr>
        <w:jc w:val="both"/>
        <w:rPr>
          <w:rFonts w:ascii="Garamond" w:hAnsi="Garamond"/>
        </w:rPr>
      </w:pPr>
    </w:p>
    <w:tbl>
      <w:tblPr>
        <w:tblStyle w:val="Tablaconcuadrcula"/>
        <w:tblW w:w="0" w:type="auto"/>
        <w:tblLook w:val="04A0" w:firstRow="1" w:lastRow="0" w:firstColumn="1" w:lastColumn="0" w:noHBand="0" w:noVBand="1"/>
      </w:tblPr>
      <w:tblGrid>
        <w:gridCol w:w="2123"/>
        <w:gridCol w:w="2123"/>
        <w:gridCol w:w="2124"/>
        <w:gridCol w:w="2124"/>
      </w:tblGrid>
      <w:tr w:rsidR="008B63DC" w:rsidRPr="00274011" w:rsidTr="00670DFC">
        <w:tc>
          <w:tcPr>
            <w:tcW w:w="8494" w:type="dxa"/>
            <w:gridSpan w:val="4"/>
          </w:tcPr>
          <w:p w:rsidR="008B63DC" w:rsidRPr="00274011" w:rsidRDefault="008B63DC" w:rsidP="00670DFC">
            <w:pPr>
              <w:pStyle w:val="NormalWeb"/>
              <w:rPr>
                <w:rFonts w:ascii="Garamond" w:hAnsi="Garamond" w:cs="Calibri"/>
                <w:b/>
                <w:bCs/>
                <w:sz w:val="16"/>
                <w:szCs w:val="16"/>
              </w:rPr>
            </w:pPr>
            <w:r w:rsidRPr="00274011">
              <w:rPr>
                <w:rFonts w:ascii="Garamond" w:hAnsi="Garamond" w:cs="Calibri"/>
                <w:b/>
                <w:bCs/>
                <w:sz w:val="16"/>
                <w:szCs w:val="16"/>
              </w:rPr>
              <w:t>Control de versiones</w:t>
            </w:r>
          </w:p>
        </w:tc>
      </w:tr>
      <w:tr w:rsidR="008B63DC" w:rsidRPr="00274011" w:rsidTr="00670DFC">
        <w:tc>
          <w:tcPr>
            <w:tcW w:w="2123" w:type="dxa"/>
          </w:tcPr>
          <w:p w:rsidR="008B63DC" w:rsidRPr="00274011" w:rsidRDefault="008B63DC" w:rsidP="00670DFC">
            <w:pPr>
              <w:pStyle w:val="NormalWeb"/>
              <w:rPr>
                <w:rFonts w:ascii="Garamond" w:hAnsi="Garamond" w:cs="Calibri"/>
                <w:i/>
                <w:iCs/>
                <w:sz w:val="16"/>
                <w:szCs w:val="16"/>
              </w:rPr>
            </w:pPr>
            <w:r w:rsidRPr="00274011">
              <w:rPr>
                <w:rFonts w:ascii="Garamond" w:hAnsi="Garamond" w:cs="Calibri"/>
                <w:i/>
                <w:iCs/>
                <w:sz w:val="16"/>
                <w:szCs w:val="16"/>
              </w:rPr>
              <w:t>Descripción</w:t>
            </w:r>
          </w:p>
        </w:tc>
        <w:tc>
          <w:tcPr>
            <w:tcW w:w="2123" w:type="dxa"/>
          </w:tcPr>
          <w:p w:rsidR="008B63DC" w:rsidRPr="00274011" w:rsidRDefault="008B63DC" w:rsidP="00670DFC">
            <w:pPr>
              <w:pStyle w:val="NormalWeb"/>
              <w:rPr>
                <w:rFonts w:ascii="Garamond" w:hAnsi="Garamond" w:cs="Calibri"/>
                <w:i/>
                <w:iCs/>
                <w:sz w:val="16"/>
                <w:szCs w:val="16"/>
              </w:rPr>
            </w:pPr>
            <w:r w:rsidRPr="00274011">
              <w:rPr>
                <w:rFonts w:ascii="Garamond" w:hAnsi="Garamond" w:cs="Calibri"/>
                <w:i/>
                <w:iCs/>
                <w:sz w:val="16"/>
                <w:szCs w:val="16"/>
              </w:rPr>
              <w:t>Responsable</w:t>
            </w:r>
          </w:p>
        </w:tc>
        <w:tc>
          <w:tcPr>
            <w:tcW w:w="2124" w:type="dxa"/>
          </w:tcPr>
          <w:p w:rsidR="008B63DC" w:rsidRPr="00274011" w:rsidRDefault="008B63DC" w:rsidP="00670DFC">
            <w:pPr>
              <w:pStyle w:val="NormalWeb"/>
              <w:rPr>
                <w:rFonts w:ascii="Garamond" w:hAnsi="Garamond" w:cs="Calibri"/>
                <w:i/>
                <w:iCs/>
                <w:sz w:val="16"/>
                <w:szCs w:val="16"/>
              </w:rPr>
            </w:pPr>
            <w:r w:rsidRPr="00274011">
              <w:rPr>
                <w:rFonts w:ascii="Garamond" w:hAnsi="Garamond" w:cs="Calibri"/>
                <w:i/>
                <w:iCs/>
                <w:sz w:val="16"/>
                <w:szCs w:val="16"/>
              </w:rPr>
              <w:t>Fecha</w:t>
            </w:r>
          </w:p>
        </w:tc>
        <w:tc>
          <w:tcPr>
            <w:tcW w:w="2124" w:type="dxa"/>
          </w:tcPr>
          <w:p w:rsidR="008B63DC" w:rsidRPr="00274011" w:rsidRDefault="008B63DC" w:rsidP="00670DFC">
            <w:pPr>
              <w:pStyle w:val="NormalWeb"/>
              <w:rPr>
                <w:rFonts w:ascii="Garamond" w:hAnsi="Garamond" w:cs="Calibri"/>
                <w:i/>
                <w:iCs/>
                <w:sz w:val="16"/>
                <w:szCs w:val="16"/>
              </w:rPr>
            </w:pPr>
            <w:r w:rsidRPr="00274011">
              <w:rPr>
                <w:rFonts w:ascii="Garamond" w:hAnsi="Garamond" w:cs="Calibri"/>
                <w:i/>
                <w:iCs/>
                <w:sz w:val="16"/>
                <w:szCs w:val="16"/>
              </w:rPr>
              <w:t>Versión</w:t>
            </w:r>
          </w:p>
        </w:tc>
      </w:tr>
      <w:tr w:rsidR="008B63DC" w:rsidRPr="00274011" w:rsidTr="00670DFC">
        <w:tc>
          <w:tcPr>
            <w:tcW w:w="2123" w:type="dxa"/>
          </w:tcPr>
          <w:p w:rsidR="008B63DC" w:rsidRPr="00274011" w:rsidRDefault="00363D17" w:rsidP="00670DFC">
            <w:pPr>
              <w:pStyle w:val="NormalWeb"/>
              <w:rPr>
                <w:rFonts w:ascii="Garamond" w:hAnsi="Garamond" w:cs="Calibri"/>
                <w:sz w:val="16"/>
                <w:szCs w:val="16"/>
              </w:rPr>
            </w:pPr>
            <w:r>
              <w:rPr>
                <w:rFonts w:ascii="Garamond" w:hAnsi="Garamond" w:cs="Calibri"/>
                <w:sz w:val="16"/>
                <w:szCs w:val="16"/>
              </w:rPr>
              <w:t>Elaboración</w:t>
            </w:r>
          </w:p>
        </w:tc>
        <w:tc>
          <w:tcPr>
            <w:tcW w:w="2123" w:type="dxa"/>
          </w:tcPr>
          <w:p w:rsidR="008B63DC" w:rsidRPr="00274011" w:rsidRDefault="008B63DC" w:rsidP="00670DFC">
            <w:pPr>
              <w:pStyle w:val="NormalWeb"/>
              <w:rPr>
                <w:rFonts w:ascii="Garamond" w:hAnsi="Garamond" w:cs="Calibri"/>
                <w:sz w:val="16"/>
                <w:szCs w:val="16"/>
              </w:rPr>
            </w:pPr>
            <w:r w:rsidRPr="00274011">
              <w:rPr>
                <w:rFonts w:ascii="Garamond" w:hAnsi="Garamond" w:cs="Calibri"/>
                <w:sz w:val="16"/>
                <w:szCs w:val="16"/>
              </w:rPr>
              <w:t>Secretaría General</w:t>
            </w:r>
          </w:p>
        </w:tc>
        <w:tc>
          <w:tcPr>
            <w:tcW w:w="2124" w:type="dxa"/>
          </w:tcPr>
          <w:p w:rsidR="008B63DC" w:rsidRPr="00274011" w:rsidRDefault="004F778D" w:rsidP="00670DFC">
            <w:pPr>
              <w:pStyle w:val="NormalWeb"/>
              <w:rPr>
                <w:rFonts w:ascii="Garamond" w:hAnsi="Garamond" w:cs="Calibri"/>
                <w:sz w:val="16"/>
                <w:szCs w:val="16"/>
              </w:rPr>
            </w:pPr>
            <w:r>
              <w:rPr>
                <w:rFonts w:ascii="Garamond" w:hAnsi="Garamond" w:cs="Calibri"/>
                <w:sz w:val="16"/>
                <w:szCs w:val="16"/>
              </w:rPr>
              <w:t>20</w:t>
            </w:r>
            <w:r w:rsidR="008B63DC" w:rsidRPr="00274011">
              <w:rPr>
                <w:rFonts w:ascii="Garamond" w:hAnsi="Garamond" w:cs="Calibri"/>
                <w:sz w:val="16"/>
                <w:szCs w:val="16"/>
              </w:rPr>
              <w:t>/05/2026</w:t>
            </w:r>
          </w:p>
        </w:tc>
        <w:tc>
          <w:tcPr>
            <w:tcW w:w="2124" w:type="dxa"/>
          </w:tcPr>
          <w:p w:rsidR="008B63DC" w:rsidRPr="00274011" w:rsidRDefault="008B63DC" w:rsidP="00670DFC">
            <w:pPr>
              <w:pStyle w:val="NormalWeb"/>
              <w:rPr>
                <w:rFonts w:ascii="Garamond" w:hAnsi="Garamond" w:cs="Calibri"/>
                <w:sz w:val="16"/>
                <w:szCs w:val="16"/>
              </w:rPr>
            </w:pPr>
            <w:r w:rsidRPr="00274011">
              <w:rPr>
                <w:rFonts w:ascii="Garamond" w:hAnsi="Garamond" w:cs="Calibri"/>
                <w:sz w:val="16"/>
                <w:szCs w:val="16"/>
              </w:rPr>
              <w:t>V1.0</w:t>
            </w:r>
          </w:p>
        </w:tc>
      </w:tr>
    </w:tbl>
    <w:p w:rsidR="008B63DC" w:rsidRPr="00DD1AF8" w:rsidRDefault="008B63DC" w:rsidP="008B63DC">
      <w:pPr>
        <w:jc w:val="both"/>
        <w:rPr>
          <w:rFonts w:ascii="Garamond" w:hAnsi="Garamond"/>
        </w:rPr>
      </w:pPr>
    </w:p>
    <w:sectPr w:rsidR="008B63DC" w:rsidRPr="00DD1A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2D"/>
    <w:rsid w:val="00136640"/>
    <w:rsid w:val="00283FAA"/>
    <w:rsid w:val="00363D17"/>
    <w:rsid w:val="003F7E3D"/>
    <w:rsid w:val="004F778D"/>
    <w:rsid w:val="005B2C7D"/>
    <w:rsid w:val="00713857"/>
    <w:rsid w:val="008B63DC"/>
    <w:rsid w:val="00BC2A39"/>
    <w:rsid w:val="00C05076"/>
    <w:rsid w:val="00DD1AF8"/>
    <w:rsid w:val="00EB152D"/>
    <w:rsid w:val="00F67C3A"/>
    <w:rsid w:val="00FA11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BA93CA1"/>
  <w15:chartTrackingRefBased/>
  <w15:docId w15:val="{493BA603-7A81-DF4F-93DC-44F0D813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63DC"/>
    <w:rPr>
      <w:color w:val="0563C1" w:themeColor="hyperlink"/>
      <w:u w:val="single"/>
    </w:rPr>
  </w:style>
  <w:style w:type="character" w:styleId="Mencinsinresolver">
    <w:name w:val="Unresolved Mention"/>
    <w:basedOn w:val="Fuentedeprrafopredeter"/>
    <w:uiPriority w:val="99"/>
    <w:semiHidden/>
    <w:unhideWhenUsed/>
    <w:rsid w:val="008B63DC"/>
    <w:rPr>
      <w:color w:val="605E5C"/>
      <w:shd w:val="clear" w:color="auto" w:fill="E1DFDD"/>
    </w:rPr>
  </w:style>
  <w:style w:type="paragraph" w:styleId="NormalWeb">
    <w:name w:val="Normal (Web)"/>
    <w:basedOn w:val="Normal"/>
    <w:uiPriority w:val="99"/>
    <w:unhideWhenUsed/>
    <w:rsid w:val="008B63DC"/>
    <w:pPr>
      <w:spacing w:before="100" w:beforeAutospacing="1" w:after="100" w:afterAutospacing="1"/>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8B6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F67C3A"/>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nfasis">
    <w:name w:val="Emphasis"/>
    <w:basedOn w:val="Fuentedeprrafopredeter"/>
    <w:uiPriority w:val="20"/>
    <w:qFormat/>
    <w:rsid w:val="00F67C3A"/>
    <w:rPr>
      <w:i/>
      <w:iCs/>
    </w:rPr>
  </w:style>
  <w:style w:type="paragraph" w:customStyle="1" w:styleId="parrafo2">
    <w:name w:val="parrafo_2"/>
    <w:basedOn w:val="Normal"/>
    <w:rsid w:val="003F7E3D"/>
    <w:pPr>
      <w:spacing w:before="100" w:beforeAutospacing="1" w:after="100" w:afterAutospacing="1"/>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4062">
      <w:bodyDiv w:val="1"/>
      <w:marLeft w:val="0"/>
      <w:marRight w:val="0"/>
      <w:marTop w:val="0"/>
      <w:marBottom w:val="0"/>
      <w:divBdr>
        <w:top w:val="none" w:sz="0" w:space="0" w:color="auto"/>
        <w:left w:val="none" w:sz="0" w:space="0" w:color="auto"/>
        <w:bottom w:val="none" w:sz="0" w:space="0" w:color="auto"/>
        <w:right w:val="none" w:sz="0" w:space="0" w:color="auto"/>
      </w:divBdr>
    </w:div>
    <w:div w:id="239757130">
      <w:bodyDiv w:val="1"/>
      <w:marLeft w:val="0"/>
      <w:marRight w:val="0"/>
      <w:marTop w:val="0"/>
      <w:marBottom w:val="0"/>
      <w:divBdr>
        <w:top w:val="none" w:sz="0" w:space="0" w:color="auto"/>
        <w:left w:val="none" w:sz="0" w:space="0" w:color="auto"/>
        <w:bottom w:val="none" w:sz="0" w:space="0" w:color="auto"/>
        <w:right w:val="none" w:sz="0" w:space="0" w:color="auto"/>
      </w:divBdr>
    </w:div>
    <w:div w:id="1037896893">
      <w:bodyDiv w:val="1"/>
      <w:marLeft w:val="0"/>
      <w:marRight w:val="0"/>
      <w:marTop w:val="0"/>
      <w:marBottom w:val="0"/>
      <w:divBdr>
        <w:top w:val="none" w:sz="0" w:space="0" w:color="auto"/>
        <w:left w:val="none" w:sz="0" w:space="0" w:color="auto"/>
        <w:bottom w:val="none" w:sz="0" w:space="0" w:color="auto"/>
        <w:right w:val="none" w:sz="0" w:space="0" w:color="auto"/>
      </w:divBdr>
    </w:div>
    <w:div w:id="1233855914">
      <w:bodyDiv w:val="1"/>
      <w:marLeft w:val="0"/>
      <w:marRight w:val="0"/>
      <w:marTop w:val="0"/>
      <w:marBottom w:val="0"/>
      <w:divBdr>
        <w:top w:val="none" w:sz="0" w:space="0" w:color="auto"/>
        <w:left w:val="none" w:sz="0" w:space="0" w:color="auto"/>
        <w:bottom w:val="none" w:sz="0" w:space="0" w:color="auto"/>
        <w:right w:val="none" w:sz="0" w:space="0" w:color="auto"/>
      </w:divBdr>
    </w:div>
    <w:div w:id="21261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s168.juntadeandalucia.es/publicaciones/portal/catalog/download/92/292/594?inline=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oe.es/buscar/act.php?id=BOE-A-2005-13020" TargetMode="External"/><Relationship Id="rId5" Type="http://schemas.openxmlformats.org/officeDocument/2006/relationships/hyperlink" Target="https://www.boe.es/buscar/act.php?id=BOE-A-1889-4763" TargetMode="External"/><Relationship Id="rId4" Type="http://schemas.openxmlformats.org/officeDocument/2006/relationships/hyperlink" Target="https://www.boe.es/buscar/act.php?id=BOE-A-1978-31229"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1217</Words>
  <Characters>7404</Characters>
  <Application>Microsoft Office Word</Application>
  <DocSecurity>0</DocSecurity>
  <Lines>238</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García Molina</dc:creator>
  <cp:keywords/>
  <dc:description/>
  <cp:lastModifiedBy>Pablo García Molina</cp:lastModifiedBy>
  <cp:revision>10</cp:revision>
  <dcterms:created xsi:type="dcterms:W3CDTF">2026-05-20T09:51:00Z</dcterms:created>
  <dcterms:modified xsi:type="dcterms:W3CDTF">2026-06-01T09:56:00Z</dcterms:modified>
</cp:coreProperties>
</file>